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1A5FFB11"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w:t>
      </w:r>
      <w:r w:rsidR="00F47E65">
        <w:rPr>
          <w:rFonts w:cs="Arial"/>
          <w:b/>
          <w:sz w:val="24"/>
          <w:szCs w:val="24"/>
        </w:rPr>
        <w:t>7</w:t>
      </w:r>
      <w:r w:rsidR="00E9777C">
        <w:rPr>
          <w:rFonts w:cs="Arial"/>
          <w:b/>
          <w:sz w:val="24"/>
          <w:szCs w:val="24"/>
        </w:rPr>
        <w:tab/>
      </w:r>
      <w:r w:rsidR="00BE2694" w:rsidRPr="00BE2694">
        <w:rPr>
          <w:rFonts w:cs="Arial"/>
          <w:b/>
          <w:sz w:val="24"/>
          <w:szCs w:val="24"/>
        </w:rPr>
        <w:t>R4-2309738</w:t>
      </w:r>
    </w:p>
    <w:p w14:paraId="72B0DFB2" w14:textId="27194D66" w:rsidR="00BE09FA" w:rsidRDefault="00F47E65" w:rsidP="00EC7DEE">
      <w:pPr>
        <w:pStyle w:val="CRCoverPage"/>
        <w:tabs>
          <w:tab w:val="right" w:pos="9639"/>
        </w:tabs>
        <w:spacing w:after="0"/>
        <w:rPr>
          <w:b/>
          <w:sz w:val="24"/>
          <w:szCs w:val="24"/>
          <w:lang w:eastAsia="zh-CN"/>
        </w:rPr>
      </w:pPr>
      <w:r w:rsidRPr="00997622">
        <w:rPr>
          <w:b/>
          <w:sz w:val="24"/>
          <w:szCs w:val="24"/>
          <w:lang w:eastAsia="zh-CN"/>
        </w:rPr>
        <w:t>Incheon, South Korea, 22 – 26 May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B27940D"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B68E8">
        <w:rPr>
          <w:rFonts w:ascii="Arial" w:hAnsi="Arial" w:cs="Arial"/>
          <w:bCs/>
          <w:color w:val="000000"/>
          <w:sz w:val="22"/>
        </w:rPr>
        <w:t>NR-U PC3 MPR Measurements</w:t>
      </w:r>
    </w:p>
    <w:p w14:paraId="04CEABB2" w14:textId="1AB82B07"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B68E8" w:rsidRPr="00DB68E8">
        <w:rPr>
          <w:rFonts w:ascii="Arial" w:hAnsi="Arial" w:cs="Arial"/>
          <w:bCs/>
          <w:color w:val="000000"/>
          <w:sz w:val="22"/>
          <w:lang w:val="pt-BR" w:eastAsia="ja-JP"/>
        </w:rPr>
        <w:t>7.31.3</w:t>
      </w:r>
      <w:r w:rsidR="00DB68E8">
        <w:rPr>
          <w:rFonts w:ascii="Arial" w:hAnsi="Arial" w:cs="Arial"/>
          <w:bCs/>
          <w:color w:val="000000"/>
          <w:sz w:val="22"/>
          <w:lang w:val="pt-BR" w:eastAsia="ja-JP"/>
        </w:rPr>
        <w:t xml:space="preserve"> </w:t>
      </w:r>
      <w:r w:rsidR="00DB68E8" w:rsidRPr="00DB68E8">
        <w:rPr>
          <w:rFonts w:ascii="Arial" w:hAnsi="Arial" w:cs="Arial"/>
          <w:bCs/>
          <w:color w:val="000000"/>
          <w:sz w:val="22"/>
          <w:lang w:val="pt-BR" w:eastAsia="ja-JP"/>
        </w:rPr>
        <w:t>UE RF requirements for SP and LPI</w:t>
      </w:r>
      <w:r w:rsidR="00DB68E8" w:rsidRPr="00DB68E8">
        <w:rPr>
          <w:rFonts w:ascii="Arial" w:hAnsi="Arial" w:cs="Arial"/>
          <w:bCs/>
          <w:color w:val="000000"/>
          <w:sz w:val="22"/>
          <w:lang w:val="pt-BR" w:eastAsia="ja-JP"/>
        </w:rPr>
        <w:tab/>
        <w:t>[NR_unlic_enh-Core]</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43BDB9F1" w:rsidR="004F5221" w:rsidRPr="00AA6E64" w:rsidRDefault="00DB68E8" w:rsidP="004F5221">
      <w:pPr>
        <w:pStyle w:val="BodyText"/>
        <w:spacing w:after="120"/>
        <w:jc w:val="both"/>
        <w:rPr>
          <w:rFonts w:eastAsia="SimSun"/>
          <w:lang w:eastAsia="zh-CN"/>
        </w:rPr>
      </w:pPr>
      <w:r>
        <w:rPr>
          <w:rFonts w:eastAsia="SimSun"/>
          <w:lang w:eastAsia="zh-CN"/>
        </w:rPr>
        <w:t>This contribution brings power class 3 (PC3) maximum power reduction (MPR) measurement data based on meeting #106bis-e way forward (WF) agreement [1]. We also share our views on the definition of Full/Partial RB allocations for NR-U.</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0954476B" w14:textId="0A071D73" w:rsidR="00DB68E8" w:rsidRDefault="00DB68E8" w:rsidP="0059062D">
      <w:pPr>
        <w:pStyle w:val="Heading2"/>
        <w:ind w:left="567" w:hanging="567"/>
        <w:rPr>
          <w:lang w:eastAsia="ja-JP"/>
        </w:rPr>
      </w:pPr>
      <w:r>
        <w:rPr>
          <w:lang w:eastAsia="ja-JP"/>
        </w:rPr>
        <w:t>2.1 Full/Partial RB allocations</w:t>
      </w:r>
    </w:p>
    <w:p w14:paraId="08F6ADF3" w14:textId="7A337F78" w:rsidR="00DB68E8" w:rsidRDefault="00DB68E8" w:rsidP="00DB68E8">
      <w:pPr>
        <w:rPr>
          <w:lang w:eastAsia="ja-JP"/>
        </w:rPr>
      </w:pPr>
      <w:r>
        <w:rPr>
          <w:lang w:eastAsia="ja-JP"/>
        </w:rPr>
        <w:t xml:space="preserve">WF [1] invites companies to discuss how to better define the difference between “Full” and “Partial” RB allocations. There are two main </w:t>
      </w:r>
      <w:proofErr w:type="gramStart"/>
      <w:r>
        <w:rPr>
          <w:lang w:eastAsia="ja-JP"/>
        </w:rPr>
        <w:t>issue</w:t>
      </w:r>
      <w:proofErr w:type="gramEnd"/>
      <w:r>
        <w:rPr>
          <w:lang w:eastAsia="ja-JP"/>
        </w:rPr>
        <w:t xml:space="preserve"> with these definitions:</w:t>
      </w:r>
    </w:p>
    <w:p w14:paraId="5E3FBCA0" w14:textId="7CDCE4C6" w:rsidR="00DB68E8" w:rsidRDefault="00DB68E8" w:rsidP="00DB68E8">
      <w:pPr>
        <w:pStyle w:val="ListParagraph"/>
        <w:numPr>
          <w:ilvl w:val="0"/>
          <w:numId w:val="28"/>
        </w:numPr>
        <w:rPr>
          <w:lang w:eastAsia="ja-JP"/>
        </w:rPr>
      </w:pPr>
      <w:r>
        <w:rPr>
          <w:lang w:eastAsia="ja-JP"/>
        </w:rPr>
        <w:t>Partial and RB allocations are defined only in footnotes of several MPR and A-MPR tables,</w:t>
      </w:r>
    </w:p>
    <w:p w14:paraId="07E35547" w14:textId="5B96CECC" w:rsidR="00DB68E8" w:rsidRDefault="00DB68E8" w:rsidP="00DB68E8">
      <w:pPr>
        <w:pStyle w:val="ListParagraph"/>
        <w:numPr>
          <w:ilvl w:val="0"/>
          <w:numId w:val="28"/>
        </w:numPr>
        <w:rPr>
          <w:lang w:eastAsia="ja-JP"/>
        </w:rPr>
      </w:pPr>
      <w:r>
        <w:rPr>
          <w:lang w:eastAsia="ja-JP"/>
        </w:rPr>
        <w:t>In some cases, the definition change slightly from table to table, hence leading to ambiguity and inconsistency.</w:t>
      </w:r>
    </w:p>
    <w:p w14:paraId="53091016" w14:textId="77777777" w:rsidR="00DB68E8" w:rsidRDefault="00DB68E8" w:rsidP="00DB68E8">
      <w:pPr>
        <w:rPr>
          <w:lang w:eastAsia="ja-JP"/>
        </w:rPr>
      </w:pPr>
      <w:r>
        <w:rPr>
          <w:lang w:eastAsia="ja-JP"/>
        </w:rPr>
        <w:t>To our understanding,</w:t>
      </w:r>
    </w:p>
    <w:p w14:paraId="75F2E973" w14:textId="77777777" w:rsidR="00DB68E8" w:rsidRDefault="00DB68E8" w:rsidP="00DB68E8">
      <w:pPr>
        <w:pStyle w:val="ListParagraph"/>
        <w:numPr>
          <w:ilvl w:val="0"/>
          <w:numId w:val="29"/>
        </w:numPr>
        <w:rPr>
          <w:lang w:eastAsia="ja-JP"/>
        </w:rPr>
      </w:pPr>
      <w:r>
        <w:rPr>
          <w:lang w:eastAsia="ja-JP"/>
        </w:rPr>
        <w:t xml:space="preserve">partial RB allocations </w:t>
      </w:r>
      <w:proofErr w:type="gramStart"/>
      <w:r>
        <w:rPr>
          <w:lang w:eastAsia="ja-JP"/>
        </w:rPr>
        <w:t>is</w:t>
      </w:r>
      <w:proofErr w:type="gramEnd"/>
      <w:r>
        <w:rPr>
          <w:lang w:eastAsia="ja-JP"/>
        </w:rPr>
        <w:t xml:space="preserve"> a term that was meant to refer to the so-called “interlaced” waveforms, waveforms which are formally defined by RAN1 as “</w:t>
      </w:r>
      <w:r w:rsidRPr="00DB68E8">
        <w:rPr>
          <w:lang w:eastAsia="ja-JP"/>
        </w:rPr>
        <w:t>resource allocation type 2 as specified in TS 38.214</w:t>
      </w:r>
      <w:r>
        <w:rPr>
          <w:lang w:eastAsia="ja-JP"/>
        </w:rPr>
        <w:t xml:space="preserve">”. </w:t>
      </w:r>
    </w:p>
    <w:p w14:paraId="4327A395" w14:textId="2739B568" w:rsidR="000D64A7" w:rsidRDefault="00DB68E8" w:rsidP="00DB68E8">
      <w:pPr>
        <w:pStyle w:val="ListParagraph"/>
        <w:numPr>
          <w:ilvl w:val="0"/>
          <w:numId w:val="29"/>
        </w:numPr>
        <w:rPr>
          <w:lang w:eastAsia="ja-JP"/>
        </w:rPr>
      </w:pPr>
      <w:r>
        <w:rPr>
          <w:lang w:eastAsia="ja-JP"/>
        </w:rPr>
        <w:t xml:space="preserve">Full allocations </w:t>
      </w:r>
      <w:proofErr w:type="gramStart"/>
      <w:r>
        <w:rPr>
          <w:lang w:eastAsia="ja-JP"/>
        </w:rPr>
        <w:t>is</w:t>
      </w:r>
      <w:proofErr w:type="gramEnd"/>
      <w:r>
        <w:rPr>
          <w:lang w:eastAsia="ja-JP"/>
        </w:rPr>
        <w:t xml:space="preserve"> a term that defines full allocated carriers, or fully allocated sub-bands</w:t>
      </w:r>
      <w:r w:rsidR="000D64A7">
        <w:rPr>
          <w:lang w:eastAsia="ja-JP"/>
        </w:rPr>
        <w:t xml:space="preserve"> of a wide-band configuration. With reference to wideband notations, where a</w:t>
      </w:r>
      <w:r w:rsidR="000D64A7" w:rsidRPr="000D64A7">
        <w:rPr>
          <w:lang w:eastAsia="ja-JP"/>
        </w:rPr>
        <w:t xml:space="preserve"> ‘1’ indicates that a sub-band is transmitted and ‘0’ indicates</w:t>
      </w:r>
      <w:r w:rsidR="000D64A7">
        <w:rPr>
          <w:lang w:eastAsia="ja-JP"/>
        </w:rPr>
        <w:t xml:space="preserve"> that</w:t>
      </w:r>
      <w:r w:rsidR="000D64A7" w:rsidRPr="000D64A7">
        <w:rPr>
          <w:lang w:eastAsia="ja-JP"/>
        </w:rPr>
        <w:t xml:space="preserve"> a sub-band is not transmitted</w:t>
      </w:r>
      <w:r w:rsidR="000D64A7">
        <w:rPr>
          <w:lang w:eastAsia="ja-JP"/>
        </w:rPr>
        <w:t>, here are two examples of full allocations:</w:t>
      </w:r>
    </w:p>
    <w:p w14:paraId="4512EEAD" w14:textId="3EFDA25A" w:rsidR="000D64A7" w:rsidRDefault="000D64A7" w:rsidP="000D64A7">
      <w:pPr>
        <w:pStyle w:val="ListParagraph"/>
        <w:numPr>
          <w:ilvl w:val="1"/>
          <w:numId w:val="29"/>
        </w:numPr>
        <w:rPr>
          <w:lang w:eastAsia="ja-JP"/>
        </w:rPr>
      </w:pPr>
      <w:r>
        <w:rPr>
          <w:lang w:eastAsia="ja-JP"/>
        </w:rPr>
        <w:t xml:space="preserve">For say, a 100MHz wideband carrier “11111”, </w:t>
      </w:r>
      <w:r w:rsidR="00DB68E8">
        <w:rPr>
          <w:lang w:eastAsia="ja-JP"/>
        </w:rPr>
        <w:t>a</w:t>
      </w:r>
      <w:r>
        <w:rPr>
          <w:lang w:eastAsia="ja-JP"/>
        </w:rPr>
        <w:t xml:space="preserve"> fully allocated DFT-s-OFDM waveform is configured to transmit a total of 270 resource blocks (RB) at SCS 30kHz,</w:t>
      </w:r>
    </w:p>
    <w:p w14:paraId="0B04A951" w14:textId="77777777" w:rsidR="000D64A7" w:rsidRDefault="000D64A7" w:rsidP="000D64A7">
      <w:pPr>
        <w:pStyle w:val="ListParagraph"/>
        <w:numPr>
          <w:ilvl w:val="1"/>
          <w:numId w:val="29"/>
        </w:numPr>
        <w:rPr>
          <w:lang w:eastAsia="ja-JP"/>
        </w:rPr>
      </w:pPr>
      <w:r>
        <w:rPr>
          <w:lang w:eastAsia="ja-JP"/>
        </w:rPr>
        <w:t>For say, a 100MHz wideband carrier “10000”, the first sub-band is considered fully allocated if all RBs are configured for transmission. For the example case of DFT-s-OFDM waveforms, this means that a total of 50RBs are transmitted at SCS 15kHz.</w:t>
      </w:r>
    </w:p>
    <w:p w14:paraId="35537A59" w14:textId="77777777" w:rsidR="000D64A7" w:rsidRDefault="000D64A7" w:rsidP="000D64A7">
      <w:pPr>
        <w:rPr>
          <w:lang w:eastAsia="ja-JP"/>
        </w:rPr>
      </w:pPr>
      <w:r>
        <w:rPr>
          <w:lang w:eastAsia="ja-JP"/>
        </w:rPr>
        <w:t>To resolve the inconsistencies across tables, we propose that the definitions of Full and Partial RB allocations are:</w:t>
      </w:r>
    </w:p>
    <w:p w14:paraId="60F007CD" w14:textId="503B1AE4" w:rsidR="000D64A7" w:rsidRDefault="000D64A7" w:rsidP="000D64A7">
      <w:pPr>
        <w:pStyle w:val="ListParagraph"/>
        <w:numPr>
          <w:ilvl w:val="0"/>
          <w:numId w:val="30"/>
        </w:numPr>
        <w:rPr>
          <w:lang w:eastAsia="ja-JP"/>
        </w:rPr>
      </w:pPr>
      <w:r>
        <w:rPr>
          <w:lang w:eastAsia="ja-JP"/>
        </w:rPr>
        <w:t>added in clause 3.1 “Definitions”,</w:t>
      </w:r>
    </w:p>
    <w:p w14:paraId="7B301E04" w14:textId="780437D8" w:rsidR="000D64A7" w:rsidRDefault="000D64A7" w:rsidP="000D64A7">
      <w:pPr>
        <w:pStyle w:val="ListParagraph"/>
        <w:numPr>
          <w:ilvl w:val="0"/>
          <w:numId w:val="30"/>
        </w:numPr>
        <w:rPr>
          <w:lang w:eastAsia="ja-JP"/>
        </w:rPr>
      </w:pPr>
      <w:r>
        <w:rPr>
          <w:lang w:eastAsia="ja-JP"/>
        </w:rPr>
        <w:t>added in the core requirement text of clause 6.1F “</w:t>
      </w:r>
      <w:proofErr w:type="gramStart"/>
      <w:r>
        <w:rPr>
          <w:lang w:eastAsia="ja-JP"/>
        </w:rPr>
        <w:t>General”</w:t>
      </w:r>
      <w:proofErr w:type="gramEnd"/>
    </w:p>
    <w:p w14:paraId="60A1130E" w14:textId="0EDCAC6E" w:rsidR="00DB68E8" w:rsidRPr="00DB68E8" w:rsidRDefault="000D64A7" w:rsidP="000D64A7">
      <w:pPr>
        <w:pStyle w:val="ListParagraph"/>
        <w:numPr>
          <w:ilvl w:val="0"/>
          <w:numId w:val="30"/>
        </w:numPr>
        <w:rPr>
          <w:lang w:eastAsia="ja-JP"/>
        </w:rPr>
      </w:pPr>
      <w:r>
        <w:rPr>
          <w:lang w:eastAsia="ja-JP"/>
        </w:rPr>
        <w:t>removed (voided) from each Table’s footnotes of clause 6.2F.</w:t>
      </w:r>
    </w:p>
    <w:p w14:paraId="2A4DAB04" w14:textId="274FCF61" w:rsidR="000D64A7" w:rsidRPr="00465312" w:rsidRDefault="000D64A7" w:rsidP="00B3359A">
      <w:pPr>
        <w:jc w:val="both"/>
        <w:rPr>
          <w:b/>
          <w:bCs/>
          <w:lang w:eastAsia="ja-JP"/>
        </w:rPr>
      </w:pPr>
      <w:r w:rsidRPr="00465312">
        <w:rPr>
          <w:b/>
          <w:bCs/>
          <w:lang w:eastAsia="ja-JP"/>
        </w:rPr>
        <w:t>Proposal 1: Adopt the following definitions for NR-U Full/Partial RB allocation:</w:t>
      </w:r>
    </w:p>
    <w:p w14:paraId="3C1AD281" w14:textId="7E501B19" w:rsidR="000D64A7" w:rsidRPr="00465312" w:rsidRDefault="00465312" w:rsidP="00B3359A">
      <w:pPr>
        <w:jc w:val="both"/>
        <w:rPr>
          <w:b/>
          <w:bCs/>
          <w:lang w:eastAsia="ja-JP"/>
        </w:rPr>
      </w:pPr>
      <w:r w:rsidRPr="00465312">
        <w:rPr>
          <w:b/>
          <w:bCs/>
          <w:lang w:eastAsia="ja-JP"/>
        </w:rPr>
        <w:t>Partial RB allocations are interlaced waveforms of resource allocation type 2 as specified in TS 38.214. An allocation that is not a partial allocation is a full allocation.</w:t>
      </w:r>
    </w:p>
    <w:p w14:paraId="5DE22EF1" w14:textId="16315C73" w:rsidR="00465312" w:rsidRPr="00465312" w:rsidRDefault="00465312" w:rsidP="00465312">
      <w:pPr>
        <w:jc w:val="both"/>
        <w:rPr>
          <w:b/>
          <w:bCs/>
          <w:lang w:eastAsia="ja-JP"/>
        </w:rPr>
      </w:pPr>
      <w:r w:rsidRPr="00465312">
        <w:rPr>
          <w:b/>
          <w:bCs/>
          <w:lang w:eastAsia="ja-JP"/>
        </w:rPr>
        <w:t xml:space="preserve">Proposal </w:t>
      </w:r>
      <w:r w:rsidRPr="00465312">
        <w:rPr>
          <w:b/>
          <w:bCs/>
          <w:lang w:eastAsia="ja-JP"/>
        </w:rPr>
        <w:t>2</w:t>
      </w:r>
      <w:r w:rsidRPr="00465312">
        <w:rPr>
          <w:b/>
          <w:bCs/>
          <w:lang w:eastAsia="ja-JP"/>
        </w:rPr>
        <w:t xml:space="preserve">: </w:t>
      </w:r>
      <w:r w:rsidRPr="00465312">
        <w:rPr>
          <w:b/>
          <w:bCs/>
          <w:lang w:eastAsia="ja-JP"/>
        </w:rPr>
        <w:t>To resolve inconsistencies across the MPR and A-MPR tables of clause 6.2F, it is proposed:</w:t>
      </w:r>
    </w:p>
    <w:p w14:paraId="36E1E9CD" w14:textId="0655D40A" w:rsidR="00465312" w:rsidRPr="00465312" w:rsidRDefault="00465312" w:rsidP="00D00A91">
      <w:pPr>
        <w:pStyle w:val="ListParagraph"/>
        <w:numPr>
          <w:ilvl w:val="0"/>
          <w:numId w:val="31"/>
        </w:numPr>
        <w:rPr>
          <w:b/>
          <w:bCs/>
          <w:lang w:eastAsia="ja-JP"/>
        </w:rPr>
      </w:pPr>
      <w:r w:rsidRPr="00465312">
        <w:rPr>
          <w:b/>
          <w:bCs/>
          <w:lang w:eastAsia="ja-JP"/>
        </w:rPr>
        <w:t xml:space="preserve">to </w:t>
      </w:r>
      <w:r w:rsidRPr="00465312">
        <w:rPr>
          <w:b/>
          <w:bCs/>
          <w:lang w:eastAsia="ja-JP"/>
        </w:rPr>
        <w:t xml:space="preserve">add </w:t>
      </w:r>
      <w:r w:rsidRPr="00465312">
        <w:rPr>
          <w:b/>
          <w:bCs/>
          <w:lang w:eastAsia="ja-JP"/>
        </w:rPr>
        <w:t xml:space="preserve">the definitions of proposal 1 </w:t>
      </w:r>
      <w:r w:rsidRPr="00465312">
        <w:rPr>
          <w:b/>
          <w:bCs/>
          <w:lang w:eastAsia="ja-JP"/>
        </w:rPr>
        <w:t>in clause 3.1 “Definitions”,</w:t>
      </w:r>
      <w:r w:rsidRPr="00465312">
        <w:rPr>
          <w:b/>
          <w:bCs/>
          <w:lang w:eastAsia="ja-JP"/>
        </w:rPr>
        <w:t xml:space="preserve"> and in </w:t>
      </w:r>
      <w:r w:rsidRPr="00465312">
        <w:rPr>
          <w:b/>
          <w:bCs/>
          <w:lang w:eastAsia="ja-JP"/>
        </w:rPr>
        <w:t>the core requirement text of clause 6.1F “General”</w:t>
      </w:r>
    </w:p>
    <w:p w14:paraId="13D320D6" w14:textId="63DDE13B" w:rsidR="00465312" w:rsidRPr="00465312" w:rsidRDefault="00465312" w:rsidP="00465312">
      <w:pPr>
        <w:pStyle w:val="ListParagraph"/>
        <w:numPr>
          <w:ilvl w:val="0"/>
          <w:numId w:val="31"/>
        </w:numPr>
        <w:rPr>
          <w:b/>
          <w:bCs/>
          <w:lang w:eastAsia="ja-JP"/>
        </w:rPr>
      </w:pPr>
      <w:r w:rsidRPr="00465312">
        <w:rPr>
          <w:b/>
          <w:bCs/>
          <w:lang w:eastAsia="ja-JP"/>
        </w:rPr>
        <w:t xml:space="preserve">to </w:t>
      </w:r>
      <w:r w:rsidRPr="00465312">
        <w:rPr>
          <w:b/>
          <w:bCs/>
          <w:lang w:eastAsia="ja-JP"/>
        </w:rPr>
        <w:t>remove</w:t>
      </w:r>
      <w:r w:rsidRPr="00465312">
        <w:rPr>
          <w:b/>
          <w:bCs/>
          <w:lang w:eastAsia="ja-JP"/>
        </w:rPr>
        <w:t>/</w:t>
      </w:r>
      <w:r w:rsidRPr="00465312">
        <w:rPr>
          <w:b/>
          <w:bCs/>
          <w:lang w:eastAsia="ja-JP"/>
        </w:rPr>
        <w:t xml:space="preserve">void from </w:t>
      </w:r>
      <w:r w:rsidRPr="00465312">
        <w:rPr>
          <w:b/>
          <w:bCs/>
          <w:lang w:eastAsia="ja-JP"/>
        </w:rPr>
        <w:t>footnotes which remind the definition of partial/full RB allocation from each MPR and A-MPR table of clause 6.2F.</w:t>
      </w:r>
    </w:p>
    <w:p w14:paraId="12BB4729" w14:textId="7A73681A" w:rsidR="00465312" w:rsidRDefault="00465312" w:rsidP="0059062D">
      <w:pPr>
        <w:pStyle w:val="Heading2"/>
        <w:numPr>
          <w:ilvl w:val="1"/>
          <w:numId w:val="31"/>
        </w:numPr>
        <w:ind w:left="567"/>
        <w:rPr>
          <w:lang w:eastAsia="ja-JP"/>
        </w:rPr>
      </w:pPr>
      <w:r>
        <w:rPr>
          <w:lang w:eastAsia="ja-JP"/>
        </w:rPr>
        <w:lastRenderedPageBreak/>
        <w:t>MPR Measurement Results</w:t>
      </w:r>
    </w:p>
    <w:p w14:paraId="61BFD5A8" w14:textId="5F905838" w:rsidR="00465312" w:rsidRDefault="00465312" w:rsidP="00465312">
      <w:pPr>
        <w:jc w:val="both"/>
        <w:rPr>
          <w:lang w:eastAsia="ja-JP"/>
        </w:rPr>
      </w:pPr>
      <w:r w:rsidRPr="002F3F3B">
        <w:rPr>
          <w:lang w:eastAsia="ja-JP"/>
        </w:rPr>
        <w:t>Power amplifier</w:t>
      </w:r>
      <w:r w:rsidR="00A50090" w:rsidRPr="002F3F3B">
        <w:rPr>
          <w:lang w:eastAsia="ja-JP"/>
        </w:rPr>
        <w:t xml:space="preserve"> (PA)</w:t>
      </w:r>
      <w:r w:rsidRPr="002F3F3B">
        <w:rPr>
          <w:lang w:eastAsia="ja-JP"/>
        </w:rPr>
        <w:t xml:space="preserve"> measurements are presented for 1 transmitter (Tx) power class 3 (PC3) operation and for 2 Tx PC5 operation. PA calibration and waveform impairments are aligned with previous WF agreements [2]. Considering the measurement challenges associated with 2Tx PA measurements, we propose here to present measurement data using the same limited set of 100MHz </w:t>
      </w:r>
      <w:r w:rsidR="00F17FA4" w:rsidRPr="002F3F3B">
        <w:rPr>
          <w:lang w:eastAsia="ja-JP"/>
        </w:rPr>
        <w:t>QPSK</w:t>
      </w:r>
      <w:r w:rsidR="00F17FA4">
        <w:rPr>
          <w:lang w:eastAsia="ja-JP"/>
        </w:rPr>
        <w:t xml:space="preserve"> </w:t>
      </w:r>
      <w:r>
        <w:rPr>
          <w:lang w:eastAsia="ja-JP"/>
        </w:rPr>
        <w:t xml:space="preserve">waveforms that were previously presented for PC5 MPR evaluation [3]. </w:t>
      </w:r>
      <w:r w:rsidR="00A50090">
        <w:rPr>
          <w:lang w:eastAsia="ja-JP"/>
        </w:rPr>
        <w:t xml:space="preserve">Compared to [3], we present measurement data using a 7GHz </w:t>
      </w:r>
      <w:proofErr w:type="spellStart"/>
      <w:r w:rsidR="00A50090">
        <w:rPr>
          <w:lang w:eastAsia="ja-JP"/>
        </w:rPr>
        <w:t>WiFi</w:t>
      </w:r>
      <w:proofErr w:type="spellEnd"/>
      <w:r w:rsidR="00A50090">
        <w:rPr>
          <w:lang w:eastAsia="ja-JP"/>
        </w:rPr>
        <w:t xml:space="preserve"> PA for 1Tx PC5 and 2Tx PC5. Considering the change of PA for PC5 measurements, we present measurement results first for 1Tx PC5, then for 2Tx PC5 and finally for 1Tx PC3 using a band n79 PA.</w:t>
      </w:r>
    </w:p>
    <w:p w14:paraId="6A6932A8" w14:textId="24D8860C" w:rsidR="00A50090" w:rsidRDefault="00A50090" w:rsidP="00A50090">
      <w:pPr>
        <w:pStyle w:val="ListParagraph"/>
        <w:numPr>
          <w:ilvl w:val="2"/>
          <w:numId w:val="31"/>
        </w:numPr>
        <w:jc w:val="both"/>
        <w:rPr>
          <w:rStyle w:val="Underrubrik2Char2"/>
        </w:rPr>
      </w:pPr>
      <w:r>
        <w:rPr>
          <w:rStyle w:val="Underrubrik2Char2"/>
        </w:rPr>
        <w:t>1Tx PC5 results</w:t>
      </w:r>
    </w:p>
    <w:p w14:paraId="7FD7E040" w14:textId="48552D4C" w:rsidR="006211B2" w:rsidRDefault="006211B2" w:rsidP="006211B2">
      <w:pPr>
        <w:rPr>
          <w:rStyle w:val="Underrubrik2Char2"/>
        </w:rPr>
      </w:pPr>
      <w:r>
        <w:rPr>
          <w:lang w:eastAsia="ja-JP"/>
        </w:rPr>
        <w:fldChar w:fldCharType="begin"/>
      </w:r>
      <w:r>
        <w:rPr>
          <w:lang w:eastAsia="ja-JP"/>
        </w:rPr>
        <w:instrText xml:space="preserve"> REF _Ref135067346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 the measured 1Tx PC5 raw output-back-off (OBO) for CP-OFDM QPSK 100MHz </w:t>
      </w:r>
      <w:proofErr w:type="spellStart"/>
      <w:proofErr w:type="gramStart"/>
      <w:r>
        <w:rPr>
          <w:lang w:eastAsia="ja-JP"/>
        </w:rPr>
        <w:t>waveforms.</w:t>
      </w:r>
      <w:r w:rsidRPr="002F3F3B">
        <w:rPr>
          <w:lang w:eastAsia="ja-JP"/>
        </w:rPr>
        <w:t>Power</w:t>
      </w:r>
      <w:proofErr w:type="spellEnd"/>
      <w:proofErr w:type="gramEnd"/>
      <w:r w:rsidRPr="002F3F3B">
        <w:rPr>
          <w:lang w:eastAsia="ja-JP"/>
        </w:rPr>
        <w:t xml:space="preserve"> amplifier (PA) measurements are presented for 1 transmitter (Tx) power class 3 (PC3) operation and for 2 Tx PC5 operation. PA calibration and waveform impairments are aligned with previous WF agreements [2]. Considering the measurement</w:t>
      </w:r>
    </w:p>
    <w:p w14:paraId="16C87DF0" w14:textId="6307AEF8" w:rsidR="002F3F3B" w:rsidRDefault="00E93814" w:rsidP="002F3F3B">
      <w:pPr>
        <w:pStyle w:val="ListParagraph"/>
        <w:ind w:left="1127"/>
        <w:jc w:val="center"/>
        <w:rPr>
          <w:rStyle w:val="Underrubrik2Char2"/>
        </w:rPr>
      </w:pPr>
      <w:r w:rsidRPr="00E93814">
        <w:drawing>
          <wp:inline distT="0" distB="0" distL="0" distR="0" wp14:anchorId="32707959" wp14:editId="0B6FBEC4">
            <wp:extent cx="3750926" cy="2203247"/>
            <wp:effectExtent l="0" t="0" r="2540" b="6985"/>
            <wp:docPr id="859822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6489" cy="2212389"/>
                    </a:xfrm>
                    <a:prstGeom prst="rect">
                      <a:avLst/>
                    </a:prstGeom>
                    <a:noFill/>
                    <a:ln>
                      <a:noFill/>
                    </a:ln>
                  </pic:spPr>
                </pic:pic>
              </a:graphicData>
            </a:graphic>
          </wp:inline>
        </w:drawing>
      </w:r>
    </w:p>
    <w:p w14:paraId="008E04F9" w14:textId="0833DCAD" w:rsidR="002F3F3B" w:rsidRDefault="002F3F3B" w:rsidP="002F3F3B">
      <w:pPr>
        <w:pStyle w:val="Caption"/>
        <w:rPr>
          <w:b w:val="0"/>
          <w:bCs/>
        </w:rPr>
      </w:pPr>
      <w:bookmarkStart w:id="10" w:name="_Ref135067346"/>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Pr="002F3F3B">
        <w:rPr>
          <w:b w:val="0"/>
          <w:bCs/>
        </w:rPr>
        <w:t>CP-OFDM</w:t>
      </w:r>
      <w:r w:rsidR="006211B2">
        <w:rPr>
          <w:b w:val="0"/>
          <w:bCs/>
        </w:rPr>
        <w:t xml:space="preserve"> QPSK 100MHz</w:t>
      </w:r>
      <w:r w:rsidRPr="002F3F3B">
        <w:rPr>
          <w:b w:val="0"/>
          <w:bCs/>
        </w:rPr>
        <w:t xml:space="preserve"> </w:t>
      </w:r>
      <w:r>
        <w:rPr>
          <w:b w:val="0"/>
          <w:bCs/>
        </w:rPr>
        <w:t xml:space="preserve">1Tx PC5 </w:t>
      </w:r>
      <w:r w:rsidRPr="002F3F3B">
        <w:rPr>
          <w:b w:val="0"/>
          <w:bCs/>
        </w:rPr>
        <w:t>raw PA</w:t>
      </w:r>
      <w:r w:rsidR="006211B2">
        <w:rPr>
          <w:b w:val="0"/>
          <w:bCs/>
        </w:rPr>
        <w:t xml:space="preserve"> OBO</w:t>
      </w:r>
      <w:r w:rsidRPr="002F3F3B">
        <w:rPr>
          <w:b w:val="0"/>
          <w:bCs/>
        </w:rPr>
        <w:t xml:space="preserve"> results</w:t>
      </w:r>
      <w:r>
        <w:rPr>
          <w:b w:val="0"/>
          <w:bCs/>
        </w:rPr>
        <w:t xml:space="preserve"> (plain dots)</w:t>
      </w:r>
      <w:r w:rsidRPr="002F3F3B">
        <w:rPr>
          <w:b w:val="0"/>
          <w:bCs/>
        </w:rPr>
        <w:t xml:space="preserve"> vs agreed MPR (</w:t>
      </w:r>
      <w:r>
        <w:rPr>
          <w:b w:val="0"/>
          <w:bCs/>
        </w:rPr>
        <w:t>black lines) vs previous results [3] (empty dots).</w:t>
      </w:r>
    </w:p>
    <w:p w14:paraId="2C75D20D" w14:textId="2A0F2117" w:rsidR="006211B2" w:rsidRPr="006741DC" w:rsidRDefault="006211B2" w:rsidP="006211B2">
      <w:pPr>
        <w:rPr>
          <w:b/>
          <w:bCs/>
        </w:rPr>
      </w:pPr>
      <w:r>
        <w:t xml:space="preserve">The measured OBO is withing measurement uncertainties of previously reported results [3]. Wideband configurations 11100 and 11000 are eligible for QPSK 4.5dB MPR exception. The OBO is dominated by fully allocated waveforms. This is expected since the peak-to-average power ratio (PAPR) of partial (interlaced) waveforms is </w:t>
      </w:r>
      <w:proofErr w:type="gramStart"/>
      <w:r>
        <w:t>similar to</w:t>
      </w:r>
      <w:proofErr w:type="gramEnd"/>
      <w:r>
        <w:t xml:space="preserve"> the PAPR of fully allocated waveforms.</w:t>
      </w:r>
    </w:p>
    <w:p w14:paraId="13CB4965" w14:textId="74446672" w:rsidR="006211B2" w:rsidRDefault="006211B2" w:rsidP="006211B2">
      <w:pPr>
        <w:rPr>
          <w:b/>
          <w:bCs/>
        </w:rPr>
      </w:pPr>
      <w:r w:rsidRPr="006741DC">
        <w:rPr>
          <w:b/>
          <w:bCs/>
        </w:rPr>
        <w:t xml:space="preserve">Observation 1: For CP-OFDM QPSK 1Tx PC5, the PA OBO is dominated by full RB allocation waveforms. </w:t>
      </w:r>
      <w:r w:rsidR="00C9085E" w:rsidRPr="006741DC">
        <w:rPr>
          <w:b/>
          <w:bCs/>
        </w:rPr>
        <w:t>This justifies that the MPR for</w:t>
      </w:r>
      <w:r w:rsidR="006741DC">
        <w:rPr>
          <w:b/>
          <w:bCs/>
        </w:rPr>
        <w:t xml:space="preserve"> CP-OFDM QPSK</w:t>
      </w:r>
      <w:r w:rsidR="00C9085E" w:rsidRPr="006741DC">
        <w:rPr>
          <w:b/>
          <w:bCs/>
        </w:rPr>
        <w:t xml:space="preserve"> </w:t>
      </w:r>
      <w:r w:rsidR="006741DC">
        <w:rPr>
          <w:b/>
          <w:bCs/>
        </w:rPr>
        <w:t>“P</w:t>
      </w:r>
      <w:r w:rsidR="00C9085E" w:rsidRPr="006741DC">
        <w:rPr>
          <w:b/>
          <w:bCs/>
        </w:rPr>
        <w:t>artial</w:t>
      </w:r>
      <w:r w:rsidR="006741DC">
        <w:rPr>
          <w:b/>
          <w:bCs/>
        </w:rPr>
        <w:t>”</w:t>
      </w:r>
      <w:r w:rsidR="00C9085E" w:rsidRPr="006741DC">
        <w:rPr>
          <w:b/>
          <w:bCs/>
        </w:rPr>
        <w:t xml:space="preserve"> waveforms does not need to be greater than the MPR for “Full”.</w:t>
      </w:r>
    </w:p>
    <w:p w14:paraId="2C1223E7" w14:textId="26A43D7B" w:rsidR="00AD3AA8" w:rsidRPr="006741DC" w:rsidRDefault="007E4A89" w:rsidP="00AD3AA8">
      <w:pPr>
        <w:jc w:val="center"/>
        <w:rPr>
          <w:b/>
          <w:bCs/>
        </w:rPr>
      </w:pPr>
      <w:r w:rsidRPr="007E4A89">
        <w:drawing>
          <wp:inline distT="0" distB="0" distL="0" distR="0" wp14:anchorId="24DDE80A" wp14:editId="1919411D">
            <wp:extent cx="4284067" cy="2523516"/>
            <wp:effectExtent l="0" t="0" r="2540" b="0"/>
            <wp:docPr id="12651797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841" cy="2532219"/>
                    </a:xfrm>
                    <a:prstGeom prst="rect">
                      <a:avLst/>
                    </a:prstGeom>
                    <a:noFill/>
                    <a:ln>
                      <a:noFill/>
                    </a:ln>
                  </pic:spPr>
                </pic:pic>
              </a:graphicData>
            </a:graphic>
          </wp:inline>
        </w:drawing>
      </w:r>
    </w:p>
    <w:p w14:paraId="3280F15D" w14:textId="24DFEB0C" w:rsidR="00AD3AA8" w:rsidRDefault="00AD3AA8" w:rsidP="00AD3AA8">
      <w:pPr>
        <w:pStyle w:val="Caption"/>
        <w:rPr>
          <w:b w:val="0"/>
          <w:bCs/>
        </w:rPr>
      </w:pPr>
      <w:bookmarkStart w:id="11" w:name="_Ref135069236"/>
      <w:r>
        <w:lastRenderedPageBreak/>
        <w:t xml:space="preserve">Figure </w:t>
      </w:r>
      <w:r>
        <w:fldChar w:fldCharType="begin"/>
      </w:r>
      <w:r>
        <w:instrText xml:space="preserve"> SEQ Figure \* ARABIC </w:instrText>
      </w:r>
      <w:r>
        <w:fldChar w:fldCharType="separate"/>
      </w:r>
      <w:r>
        <w:rPr>
          <w:noProof/>
        </w:rPr>
        <w:t>2</w:t>
      </w:r>
      <w:r>
        <w:fldChar w:fldCharType="end"/>
      </w:r>
      <w:bookmarkEnd w:id="11"/>
      <w:r>
        <w:t xml:space="preserve">: </w:t>
      </w:r>
      <w:r>
        <w:rPr>
          <w:b w:val="0"/>
          <w:bCs/>
        </w:rPr>
        <w:t>DFT-s</w:t>
      </w:r>
      <w:r w:rsidRPr="002F3F3B">
        <w:rPr>
          <w:b w:val="0"/>
          <w:bCs/>
        </w:rPr>
        <w:t>-OFDM</w:t>
      </w:r>
      <w:r>
        <w:rPr>
          <w:b w:val="0"/>
          <w:bCs/>
        </w:rPr>
        <w:t xml:space="preserve"> QPSK 100MHz</w:t>
      </w:r>
      <w:r w:rsidRPr="002F3F3B">
        <w:rPr>
          <w:b w:val="0"/>
          <w:bCs/>
        </w:rPr>
        <w:t xml:space="preserve"> </w:t>
      </w:r>
      <w:r>
        <w:rPr>
          <w:b w:val="0"/>
          <w:bCs/>
        </w:rPr>
        <w:t xml:space="preserve">1Tx PC5 </w:t>
      </w:r>
      <w:r w:rsidRPr="002F3F3B">
        <w:rPr>
          <w:b w:val="0"/>
          <w:bCs/>
        </w:rPr>
        <w:t>raw PA</w:t>
      </w:r>
      <w:r>
        <w:rPr>
          <w:b w:val="0"/>
          <w:bCs/>
        </w:rPr>
        <w:t xml:space="preserve"> OBO</w:t>
      </w:r>
      <w:r w:rsidRPr="002F3F3B">
        <w:rPr>
          <w:b w:val="0"/>
          <w:bCs/>
        </w:rPr>
        <w:t xml:space="preserve"> results</w:t>
      </w:r>
      <w:r>
        <w:rPr>
          <w:b w:val="0"/>
          <w:bCs/>
        </w:rPr>
        <w:t xml:space="preserve"> (plain dots)</w:t>
      </w:r>
      <w:r w:rsidRPr="002F3F3B">
        <w:rPr>
          <w:b w:val="0"/>
          <w:bCs/>
        </w:rPr>
        <w:t xml:space="preserve"> vs agreed MPR (</w:t>
      </w:r>
      <w:r>
        <w:rPr>
          <w:b w:val="0"/>
          <w:bCs/>
        </w:rPr>
        <w:t>black lines) vs previous results [3] (empty dots).</w:t>
      </w:r>
    </w:p>
    <w:p w14:paraId="32D8440A" w14:textId="44E14DD1" w:rsidR="00AD3AA8" w:rsidRPr="00AD3AA8" w:rsidRDefault="00AD3AA8" w:rsidP="00AD3AA8">
      <w:r>
        <w:fldChar w:fldCharType="begin"/>
      </w:r>
      <w:r>
        <w:instrText xml:space="preserve"> REF _Ref135069236 \h </w:instrText>
      </w:r>
      <w:r>
        <w:fldChar w:fldCharType="separate"/>
      </w:r>
      <w:r>
        <w:t xml:space="preserve">Figure </w:t>
      </w:r>
      <w:r>
        <w:rPr>
          <w:noProof/>
        </w:rPr>
        <w:t>2</w:t>
      </w:r>
      <w:r>
        <w:fldChar w:fldCharType="end"/>
      </w:r>
      <w:r>
        <w:t xml:space="preserve"> shows the 1Tx PC5 OBO for DFT-s-OFDM 100MHz QPSK waveforms. OBO is mostly dominated by “Partial” (interlaced) waveforms except for “case B” wideband configurations where “Full” waveforms dominate. For DFT-s-OFDM, the dominance of interlaced waveforms is due to the higher PAPR than Fully allocated waveforms.</w:t>
      </w:r>
    </w:p>
    <w:p w14:paraId="12ACAD65" w14:textId="558F6A43" w:rsidR="00C64EB5" w:rsidRDefault="00C64EB5" w:rsidP="00C64EB5">
      <w:pPr>
        <w:rPr>
          <w:b/>
          <w:bCs/>
        </w:rPr>
      </w:pPr>
      <w:r w:rsidRPr="006741DC">
        <w:rPr>
          <w:b/>
          <w:bCs/>
        </w:rPr>
        <w:t xml:space="preserve">Observation </w:t>
      </w:r>
      <w:r>
        <w:rPr>
          <w:b/>
          <w:bCs/>
        </w:rPr>
        <w:t>2</w:t>
      </w:r>
      <w:r w:rsidRPr="006741DC">
        <w:rPr>
          <w:b/>
          <w:bCs/>
        </w:rPr>
        <w:t xml:space="preserve">: For </w:t>
      </w:r>
      <w:r>
        <w:rPr>
          <w:b/>
          <w:bCs/>
        </w:rPr>
        <w:t>DFT-s</w:t>
      </w:r>
      <w:r w:rsidRPr="006741DC">
        <w:rPr>
          <w:b/>
          <w:bCs/>
        </w:rPr>
        <w:t xml:space="preserve">-OFDM QPSK 1Tx PC5, the PA OBO is </w:t>
      </w:r>
      <w:r>
        <w:rPr>
          <w:b/>
          <w:bCs/>
        </w:rPr>
        <w:t xml:space="preserve">mostly </w:t>
      </w:r>
      <w:r w:rsidRPr="006741DC">
        <w:rPr>
          <w:b/>
          <w:bCs/>
        </w:rPr>
        <w:t xml:space="preserve">dominated by </w:t>
      </w:r>
      <w:r>
        <w:rPr>
          <w:b/>
          <w:bCs/>
        </w:rPr>
        <w:t xml:space="preserve">partial (interlaced) </w:t>
      </w:r>
      <w:r w:rsidRPr="006741DC">
        <w:rPr>
          <w:b/>
          <w:bCs/>
        </w:rPr>
        <w:t>waveforms. This justifies that the</w:t>
      </w:r>
      <w:r>
        <w:rPr>
          <w:b/>
          <w:bCs/>
        </w:rPr>
        <w:t xml:space="preserve"> higher</w:t>
      </w:r>
      <w:r w:rsidRPr="006741DC">
        <w:rPr>
          <w:b/>
          <w:bCs/>
        </w:rPr>
        <w:t xml:space="preserve"> MPR</w:t>
      </w:r>
      <w:r>
        <w:rPr>
          <w:b/>
          <w:bCs/>
        </w:rPr>
        <w:t xml:space="preserve"> allowance </w:t>
      </w:r>
      <w:r w:rsidRPr="006741DC">
        <w:rPr>
          <w:b/>
          <w:bCs/>
        </w:rPr>
        <w:t>for</w:t>
      </w:r>
      <w:r>
        <w:rPr>
          <w:b/>
          <w:bCs/>
        </w:rPr>
        <w:t xml:space="preserve"> </w:t>
      </w:r>
      <w:r>
        <w:rPr>
          <w:b/>
          <w:bCs/>
        </w:rPr>
        <w:t>DFT-s</w:t>
      </w:r>
      <w:r>
        <w:rPr>
          <w:b/>
          <w:bCs/>
        </w:rPr>
        <w:t>-OFDM QPSK</w:t>
      </w:r>
      <w:r w:rsidRPr="006741DC">
        <w:rPr>
          <w:b/>
          <w:bCs/>
        </w:rPr>
        <w:t xml:space="preserve"> </w:t>
      </w:r>
      <w:r>
        <w:rPr>
          <w:b/>
          <w:bCs/>
        </w:rPr>
        <w:t>“P</w:t>
      </w:r>
      <w:r w:rsidRPr="006741DC">
        <w:rPr>
          <w:b/>
          <w:bCs/>
        </w:rPr>
        <w:t>artial</w:t>
      </w:r>
      <w:r>
        <w:rPr>
          <w:b/>
          <w:bCs/>
        </w:rPr>
        <w:t>”</w:t>
      </w:r>
      <w:r w:rsidRPr="006741DC">
        <w:rPr>
          <w:b/>
          <w:bCs/>
        </w:rPr>
        <w:t xml:space="preserve"> waveforms</w:t>
      </w:r>
      <w:r>
        <w:rPr>
          <w:b/>
          <w:bCs/>
        </w:rPr>
        <w:t>.</w:t>
      </w:r>
    </w:p>
    <w:p w14:paraId="72C5AF07" w14:textId="33311B0F" w:rsidR="00A50090" w:rsidRDefault="00A50090" w:rsidP="00A50090">
      <w:pPr>
        <w:pStyle w:val="ListParagraph"/>
        <w:numPr>
          <w:ilvl w:val="2"/>
          <w:numId w:val="31"/>
        </w:numPr>
        <w:jc w:val="both"/>
        <w:rPr>
          <w:rStyle w:val="Underrubrik2Char2"/>
          <w:lang w:eastAsia="ja-JP"/>
        </w:rPr>
      </w:pPr>
      <w:r>
        <w:rPr>
          <w:rStyle w:val="Underrubrik2Char2"/>
          <w:lang w:eastAsia="ja-JP"/>
        </w:rPr>
        <w:t>2Tx PC5 results</w:t>
      </w:r>
    </w:p>
    <w:p w14:paraId="5BCC96B4" w14:textId="6A9F1238" w:rsidR="00671F22" w:rsidRDefault="00671F22" w:rsidP="00671F22">
      <w:r>
        <w:rPr>
          <w:rStyle w:val="Underrubrik2Char2"/>
          <w:lang w:eastAsia="ja-JP"/>
        </w:rPr>
        <w:fldChar w:fldCharType="begin"/>
      </w:r>
      <w:r>
        <w:rPr>
          <w:rStyle w:val="Underrubrik2Char2"/>
          <w:lang w:eastAsia="ja-JP"/>
        </w:rPr>
        <w:instrText xml:space="preserve"> REF _Ref135070604 \h </w:instrText>
      </w:r>
      <w:r>
        <w:rPr>
          <w:rStyle w:val="Underrubrik2Char2"/>
          <w:lang w:eastAsia="ja-JP"/>
        </w:rPr>
      </w:r>
      <w:r>
        <w:rPr>
          <w:rStyle w:val="Underrubrik2Char2"/>
          <w:lang w:eastAsia="ja-JP"/>
        </w:rPr>
        <w:fldChar w:fldCharType="separate"/>
      </w:r>
      <w:r>
        <w:t xml:space="preserve">Figure </w:t>
      </w:r>
      <w:r>
        <w:rPr>
          <w:noProof/>
        </w:rPr>
        <w:t>3</w:t>
      </w:r>
      <w:r>
        <w:rPr>
          <w:rStyle w:val="Underrubrik2Char2"/>
          <w:lang w:eastAsia="ja-JP"/>
        </w:rPr>
        <w:fldChar w:fldCharType="end"/>
      </w:r>
      <w:r>
        <w:rPr>
          <w:rStyle w:val="Underrubrik2Char2"/>
          <w:lang w:eastAsia="ja-JP"/>
        </w:rPr>
        <w:t xml:space="preserve"> </w:t>
      </w:r>
      <w:r w:rsidRPr="00671F22">
        <w:t>and</w:t>
      </w:r>
      <w:r>
        <w:t xml:space="preserve"> </w:t>
      </w:r>
      <w:r>
        <w:fldChar w:fldCharType="begin"/>
      </w:r>
      <w:r>
        <w:instrText xml:space="preserve"> REF _Ref135070661 \h </w:instrText>
      </w:r>
      <w:r>
        <w:fldChar w:fldCharType="separate"/>
      </w:r>
      <w:r>
        <w:t xml:space="preserve">Figure </w:t>
      </w:r>
      <w:r>
        <w:rPr>
          <w:noProof/>
        </w:rPr>
        <w:t>4</w:t>
      </w:r>
      <w:r>
        <w:fldChar w:fldCharType="end"/>
      </w:r>
      <w:r>
        <w:t xml:space="preserve"> show the 2Tx PC5</w:t>
      </w:r>
      <w:r w:rsidRPr="00671F22">
        <w:t xml:space="preserve"> </w:t>
      </w:r>
      <w:r>
        <w:t xml:space="preserve">100MHz QPSK </w:t>
      </w:r>
      <w:r>
        <w:t xml:space="preserve">CP-OFDM and DFT-s-OFDM OBO results respectively. We observe that on average the impact of reverse IMD requires between </w:t>
      </w:r>
      <w:proofErr w:type="gramStart"/>
      <w:r>
        <w:t>0.4 and 0.7 dB</w:t>
      </w:r>
      <w:proofErr w:type="gramEnd"/>
      <w:r>
        <w:t xml:space="preserve"> higher OBO than 1Tx PC5 OBO. </w:t>
      </w:r>
      <w:r>
        <w:t xml:space="preserve"> </w:t>
      </w:r>
      <w:r>
        <w:t>Additional back-off is needed for CP-OFDM case B wideband configurations.</w:t>
      </w:r>
    </w:p>
    <w:p w14:paraId="1E07650A" w14:textId="01076451" w:rsidR="00671F22" w:rsidRDefault="00671F22" w:rsidP="00671F22">
      <w:pPr>
        <w:jc w:val="center"/>
        <w:rPr>
          <w:rStyle w:val="Underrubrik2Char2"/>
          <w:lang w:eastAsia="ja-JP"/>
        </w:rPr>
      </w:pPr>
      <w:r w:rsidRPr="006B7A1F">
        <w:rPr>
          <w:rStyle w:val="Underrubrik2Char2"/>
          <w:rFonts w:ascii="Times New Roman" w:hAnsi="Times New Roman"/>
          <w:sz w:val="20"/>
        </w:rPr>
        <w:drawing>
          <wp:inline distT="0" distB="0" distL="0" distR="0" wp14:anchorId="13A02150" wp14:editId="012AC226">
            <wp:extent cx="4460340" cy="2684653"/>
            <wp:effectExtent l="0" t="0" r="0" b="1905"/>
            <wp:docPr id="7563708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6841" cy="2688566"/>
                    </a:xfrm>
                    <a:prstGeom prst="rect">
                      <a:avLst/>
                    </a:prstGeom>
                    <a:noFill/>
                    <a:ln>
                      <a:noFill/>
                    </a:ln>
                  </pic:spPr>
                </pic:pic>
              </a:graphicData>
            </a:graphic>
          </wp:inline>
        </w:drawing>
      </w:r>
    </w:p>
    <w:p w14:paraId="56ED24D5" w14:textId="402ECFEE" w:rsidR="006B7A1F" w:rsidRDefault="006B7A1F" w:rsidP="006B7A1F">
      <w:pPr>
        <w:pStyle w:val="Caption"/>
        <w:rPr>
          <w:b w:val="0"/>
          <w:bCs/>
        </w:rPr>
      </w:pPr>
      <w:bookmarkStart w:id="12" w:name="_Ref135070604"/>
      <w:r>
        <w:t xml:space="preserve">Figure </w:t>
      </w:r>
      <w:r>
        <w:fldChar w:fldCharType="begin"/>
      </w:r>
      <w:r>
        <w:instrText xml:space="preserve"> SEQ Figure \* ARABIC </w:instrText>
      </w:r>
      <w:r>
        <w:fldChar w:fldCharType="separate"/>
      </w:r>
      <w:r>
        <w:rPr>
          <w:noProof/>
        </w:rPr>
        <w:t>3</w:t>
      </w:r>
      <w:r>
        <w:fldChar w:fldCharType="end"/>
      </w:r>
      <w:bookmarkEnd w:id="12"/>
      <w:r>
        <w:t xml:space="preserve">: </w:t>
      </w:r>
      <w:r w:rsidRPr="002F3F3B">
        <w:rPr>
          <w:b w:val="0"/>
          <w:bCs/>
        </w:rPr>
        <w:t>CP-OFDM</w:t>
      </w:r>
      <w:r>
        <w:rPr>
          <w:b w:val="0"/>
          <w:bCs/>
        </w:rPr>
        <w:t xml:space="preserve"> QPSK 100MHz</w:t>
      </w:r>
      <w:r w:rsidRPr="002F3F3B">
        <w:rPr>
          <w:b w:val="0"/>
          <w:bCs/>
        </w:rPr>
        <w:t xml:space="preserve"> </w:t>
      </w:r>
      <w:r>
        <w:rPr>
          <w:b w:val="0"/>
          <w:bCs/>
        </w:rPr>
        <w:t>2</w:t>
      </w:r>
      <w:r>
        <w:rPr>
          <w:b w:val="0"/>
          <w:bCs/>
        </w:rPr>
        <w:t xml:space="preserve">Tx PC5 </w:t>
      </w:r>
      <w:r w:rsidRPr="002F3F3B">
        <w:rPr>
          <w:b w:val="0"/>
          <w:bCs/>
        </w:rPr>
        <w:t>raw PA</w:t>
      </w:r>
      <w:r>
        <w:rPr>
          <w:b w:val="0"/>
          <w:bCs/>
        </w:rPr>
        <w:t xml:space="preserve"> OBO</w:t>
      </w:r>
      <w:r w:rsidRPr="002F3F3B">
        <w:rPr>
          <w:b w:val="0"/>
          <w:bCs/>
        </w:rPr>
        <w:t xml:space="preserve"> results</w:t>
      </w:r>
      <w:r>
        <w:rPr>
          <w:b w:val="0"/>
          <w:bCs/>
        </w:rPr>
        <w:t xml:space="preserve"> (plain dots)</w:t>
      </w:r>
      <w:r w:rsidRPr="002F3F3B">
        <w:rPr>
          <w:b w:val="0"/>
          <w:bCs/>
        </w:rPr>
        <w:t xml:space="preserve"> vs </w:t>
      </w:r>
      <w:r>
        <w:rPr>
          <w:b w:val="0"/>
          <w:bCs/>
        </w:rPr>
        <w:t xml:space="preserve">PC5 </w:t>
      </w:r>
      <w:r w:rsidRPr="002F3F3B">
        <w:rPr>
          <w:b w:val="0"/>
          <w:bCs/>
        </w:rPr>
        <w:t>MPR (</w:t>
      </w:r>
      <w:r>
        <w:rPr>
          <w:b w:val="0"/>
          <w:bCs/>
        </w:rPr>
        <w:t>black lines)</w:t>
      </w:r>
      <w:r>
        <w:rPr>
          <w:b w:val="0"/>
          <w:bCs/>
        </w:rPr>
        <w:t>.</w:t>
      </w:r>
    </w:p>
    <w:p w14:paraId="03689267" w14:textId="43A7ED6E" w:rsidR="006B7A1F" w:rsidRDefault="006B7A1F" w:rsidP="006B7A1F">
      <w:pPr>
        <w:jc w:val="center"/>
      </w:pPr>
      <w:r w:rsidRPr="006B7A1F">
        <w:drawing>
          <wp:inline distT="0" distB="0" distL="0" distR="0" wp14:anchorId="52536CD2" wp14:editId="6A6BCEFB">
            <wp:extent cx="4418380" cy="2660708"/>
            <wp:effectExtent l="0" t="0" r="1270" b="6350"/>
            <wp:docPr id="4423049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1210" cy="2662412"/>
                    </a:xfrm>
                    <a:prstGeom prst="rect">
                      <a:avLst/>
                    </a:prstGeom>
                    <a:noFill/>
                    <a:ln>
                      <a:noFill/>
                    </a:ln>
                  </pic:spPr>
                </pic:pic>
              </a:graphicData>
            </a:graphic>
          </wp:inline>
        </w:drawing>
      </w:r>
    </w:p>
    <w:p w14:paraId="527C40E1" w14:textId="5EEBA22B" w:rsidR="006B7A1F" w:rsidRDefault="006B7A1F" w:rsidP="006B7A1F">
      <w:pPr>
        <w:pStyle w:val="Caption"/>
        <w:rPr>
          <w:b w:val="0"/>
          <w:bCs/>
        </w:rPr>
      </w:pPr>
      <w:bookmarkStart w:id="13" w:name="_Ref135070661"/>
      <w:r>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Pr>
          <w:b w:val="0"/>
          <w:bCs/>
        </w:rPr>
        <w:t>DFT-s</w:t>
      </w:r>
      <w:r w:rsidRPr="002F3F3B">
        <w:rPr>
          <w:b w:val="0"/>
          <w:bCs/>
        </w:rPr>
        <w:t>-OFDM</w:t>
      </w:r>
      <w:r>
        <w:rPr>
          <w:b w:val="0"/>
          <w:bCs/>
        </w:rPr>
        <w:t xml:space="preserve"> QPSK 100MHz</w:t>
      </w:r>
      <w:r w:rsidRPr="002F3F3B">
        <w:rPr>
          <w:b w:val="0"/>
          <w:bCs/>
        </w:rPr>
        <w:t xml:space="preserve"> </w:t>
      </w:r>
      <w:r>
        <w:rPr>
          <w:b w:val="0"/>
          <w:bCs/>
        </w:rPr>
        <w:t xml:space="preserve">1Tx PC5 </w:t>
      </w:r>
      <w:r w:rsidRPr="002F3F3B">
        <w:rPr>
          <w:b w:val="0"/>
          <w:bCs/>
        </w:rPr>
        <w:t>raw PA</w:t>
      </w:r>
      <w:r>
        <w:rPr>
          <w:b w:val="0"/>
          <w:bCs/>
        </w:rPr>
        <w:t xml:space="preserve"> OBO</w:t>
      </w:r>
      <w:r w:rsidRPr="002F3F3B">
        <w:rPr>
          <w:b w:val="0"/>
          <w:bCs/>
        </w:rPr>
        <w:t xml:space="preserve"> results</w:t>
      </w:r>
      <w:r>
        <w:rPr>
          <w:b w:val="0"/>
          <w:bCs/>
        </w:rPr>
        <w:t xml:space="preserve"> (plain dots)</w:t>
      </w:r>
      <w:r w:rsidRPr="002F3F3B">
        <w:rPr>
          <w:b w:val="0"/>
          <w:bCs/>
        </w:rPr>
        <w:t xml:space="preserve"> vs </w:t>
      </w:r>
      <w:r>
        <w:rPr>
          <w:b w:val="0"/>
          <w:bCs/>
        </w:rPr>
        <w:t xml:space="preserve">PC5 </w:t>
      </w:r>
      <w:r w:rsidRPr="002F3F3B">
        <w:rPr>
          <w:b w:val="0"/>
          <w:bCs/>
        </w:rPr>
        <w:t>MPR (</w:t>
      </w:r>
      <w:r>
        <w:rPr>
          <w:b w:val="0"/>
          <w:bCs/>
        </w:rPr>
        <w:t>black lines</w:t>
      </w:r>
      <w:proofErr w:type="gramStart"/>
      <w:r>
        <w:rPr>
          <w:b w:val="0"/>
          <w:bCs/>
        </w:rPr>
        <w:t xml:space="preserve">) </w:t>
      </w:r>
      <w:r>
        <w:rPr>
          <w:b w:val="0"/>
          <w:bCs/>
        </w:rPr>
        <w:t>.</w:t>
      </w:r>
      <w:proofErr w:type="gramEnd"/>
    </w:p>
    <w:p w14:paraId="517A0E1D" w14:textId="77777777" w:rsidR="006B7A1F" w:rsidRPr="006B7A1F" w:rsidRDefault="006B7A1F" w:rsidP="006B7A1F">
      <w:pPr>
        <w:jc w:val="center"/>
      </w:pPr>
    </w:p>
    <w:p w14:paraId="284C989E" w14:textId="5C78CF5B" w:rsidR="00671F22" w:rsidRDefault="00671F22" w:rsidP="00671F22">
      <w:pPr>
        <w:rPr>
          <w:b/>
          <w:bCs/>
        </w:rPr>
      </w:pPr>
      <w:r w:rsidRPr="006741DC">
        <w:rPr>
          <w:b/>
          <w:bCs/>
        </w:rPr>
        <w:t xml:space="preserve">Observation </w:t>
      </w:r>
      <w:r>
        <w:rPr>
          <w:b/>
          <w:bCs/>
        </w:rPr>
        <w:t>3</w:t>
      </w:r>
      <w:r w:rsidRPr="006741DC">
        <w:rPr>
          <w:b/>
          <w:bCs/>
        </w:rPr>
        <w:t xml:space="preserve">: </w:t>
      </w:r>
      <w:r>
        <w:rPr>
          <w:b/>
          <w:bCs/>
        </w:rPr>
        <w:t>For 2Tx PC5, approximately 0.5dB additional back-off is needed across all waveforms and all wideband configurations.</w:t>
      </w:r>
    </w:p>
    <w:p w14:paraId="5C44AE6C" w14:textId="77777777" w:rsidR="00B75480" w:rsidRDefault="00B75480" w:rsidP="00B75480">
      <w:pPr>
        <w:pStyle w:val="ListParagraph"/>
        <w:ind w:left="1127"/>
        <w:jc w:val="both"/>
        <w:rPr>
          <w:rStyle w:val="Underrubrik2Char2"/>
          <w:lang w:eastAsia="ja-JP"/>
        </w:rPr>
      </w:pPr>
    </w:p>
    <w:p w14:paraId="4329868F" w14:textId="19974BD3" w:rsidR="00A50090" w:rsidRDefault="00A50090" w:rsidP="00A50090">
      <w:pPr>
        <w:pStyle w:val="ListParagraph"/>
        <w:numPr>
          <w:ilvl w:val="2"/>
          <w:numId w:val="31"/>
        </w:numPr>
        <w:jc w:val="both"/>
        <w:rPr>
          <w:rStyle w:val="Underrubrik2Char2"/>
          <w:lang w:eastAsia="ja-JP"/>
        </w:rPr>
      </w:pPr>
      <w:r>
        <w:rPr>
          <w:rStyle w:val="Underrubrik2Char2"/>
          <w:lang w:eastAsia="ja-JP"/>
        </w:rPr>
        <w:t>1Tx PC3 results</w:t>
      </w:r>
    </w:p>
    <w:p w14:paraId="00EDCC1F" w14:textId="6560526A" w:rsidR="00B75480" w:rsidRDefault="00B75480" w:rsidP="00B75480">
      <w:pPr>
        <w:jc w:val="both"/>
        <w:rPr>
          <w:rStyle w:val="Underrubrik2Char2"/>
          <w:lang w:eastAsia="ja-JP"/>
        </w:rPr>
      </w:pPr>
      <w:r>
        <w:t xml:space="preserve">Due to lack of time, we are not able to present detailed measurement results for PC3 1Tx. Our measurements are generally aligned with WF [1] proposals for Full Allocations. However, for CP-OFDM partial, we observe similar </w:t>
      </w:r>
      <w:proofErr w:type="spellStart"/>
      <w:r>
        <w:t>behavior</w:t>
      </w:r>
      <w:proofErr w:type="spellEnd"/>
      <w:r>
        <w:t xml:space="preserve"> than for 1Tx and 2Tx PC5: due to same PAPR, partial waveforms do not seem to require more back-off than fully allocated waveforms. We have also observed that a higher OBO is required for case B configurations that require approximately 3.5dB OBO. slightly exceed the </w:t>
      </w:r>
      <w:r>
        <w:t>measured OBO is withing measurement uncertainties of previously reported results [3]. Wideband configurations 11100 and 11000 are eligible for QPSK 4.5dB MPR exception. The OBO is dominated by fully allocated waveforms. This is expected since the peak-to</w:t>
      </w:r>
    </w:p>
    <w:p w14:paraId="4AB25F10" w14:textId="0D010188" w:rsidR="00B75480" w:rsidRPr="00B75480" w:rsidRDefault="00B75480" w:rsidP="00B75480">
      <w:pPr>
        <w:jc w:val="both"/>
        <w:rPr>
          <w:b/>
          <w:bCs/>
        </w:rPr>
      </w:pPr>
      <w:r w:rsidRPr="006741DC">
        <w:rPr>
          <w:b/>
          <w:bCs/>
        </w:rPr>
        <w:t xml:space="preserve">Observation </w:t>
      </w:r>
      <w:r>
        <w:rPr>
          <w:b/>
          <w:bCs/>
        </w:rPr>
        <w:t>4</w:t>
      </w:r>
      <w:r w:rsidRPr="006741DC">
        <w:rPr>
          <w:b/>
          <w:bCs/>
        </w:rPr>
        <w:t>:</w:t>
      </w:r>
      <w:r>
        <w:rPr>
          <w:b/>
          <w:bCs/>
        </w:rPr>
        <w:t xml:space="preserve"> Due to lack of time, we are not able to provide detailed OBO results for 1Tx PC3. Our measurements indicate that for 1Tx PC3, WF [1] MPR proposal are sufficient for Full allocations. </w:t>
      </w:r>
      <w:proofErr w:type="gramStart"/>
      <w:r>
        <w:rPr>
          <w:b/>
          <w:bCs/>
        </w:rPr>
        <w:t>However</w:t>
      </w:r>
      <w:proofErr w:type="gramEnd"/>
      <w:r>
        <w:rPr>
          <w:b/>
          <w:bCs/>
        </w:rPr>
        <w:t xml:space="preserve"> for CP-OFDM QPSK partial, we do not see the need for higher OBO than Full OBO. We also observe that the partial 3.5dB MPR is sufficient to cover the case of Full allocations and case B wideband configurations.</w:t>
      </w:r>
    </w:p>
    <w:p w14:paraId="06DF9A0A" w14:textId="58BD01DE" w:rsidR="0059062D" w:rsidRDefault="00B75480" w:rsidP="0059062D">
      <w:pPr>
        <w:pStyle w:val="Heading2"/>
        <w:numPr>
          <w:ilvl w:val="1"/>
          <w:numId w:val="31"/>
        </w:numPr>
        <w:tabs>
          <w:tab w:val="num" w:pos="-720"/>
        </w:tabs>
        <w:ind w:left="567" w:hanging="567"/>
        <w:rPr>
          <w:lang w:eastAsia="ja-JP"/>
        </w:rPr>
      </w:pPr>
      <w:r>
        <w:rPr>
          <w:lang w:eastAsia="ja-JP"/>
        </w:rPr>
        <w:t xml:space="preserve">Further </w:t>
      </w:r>
      <w:r w:rsidR="0059062D">
        <w:rPr>
          <w:lang w:eastAsia="ja-JP"/>
        </w:rPr>
        <w:t xml:space="preserve">MPR </w:t>
      </w:r>
      <w:r>
        <w:rPr>
          <w:lang w:eastAsia="ja-JP"/>
        </w:rPr>
        <w:t>observations</w:t>
      </w:r>
    </w:p>
    <w:p w14:paraId="60F9C819" w14:textId="1149A472" w:rsidR="00465312" w:rsidRDefault="00B75480" w:rsidP="00B3359A">
      <w:pPr>
        <w:jc w:val="both"/>
        <w:rPr>
          <w:lang w:eastAsia="ja-JP"/>
        </w:rPr>
      </w:pPr>
      <w:r>
        <w:rPr>
          <w:lang w:eastAsia="ja-JP"/>
        </w:rPr>
        <w:t xml:space="preserve">At previous meeting we observed several inconsistencies between 1Tx PC5, 1Tx PC3 and 2Tx PC5. We summarize here our views based on </w:t>
      </w:r>
      <w:r>
        <w:rPr>
          <w:lang w:eastAsia="ja-JP"/>
        </w:rPr>
        <w:fldChar w:fldCharType="begin"/>
      </w:r>
      <w:r>
        <w:rPr>
          <w:lang w:eastAsia="ja-JP"/>
        </w:rPr>
        <w:instrText xml:space="preserve"> REF _Ref135071372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w:t>
      </w:r>
    </w:p>
    <w:p w14:paraId="49816148" w14:textId="76A177D7" w:rsidR="00B75480" w:rsidRDefault="00B75480" w:rsidP="00B3359A">
      <w:pPr>
        <w:jc w:val="both"/>
        <w:rPr>
          <w:lang w:eastAsia="ja-JP"/>
        </w:rPr>
      </w:pPr>
      <w:r w:rsidRPr="00B75480">
        <w:rPr>
          <w:lang w:eastAsia="ja-JP"/>
        </w:rPr>
        <w:drawing>
          <wp:inline distT="0" distB="0" distL="0" distR="0" wp14:anchorId="0E5AE3B7" wp14:editId="5EC4C100">
            <wp:extent cx="2962656" cy="1304358"/>
            <wp:effectExtent l="0" t="0" r="9525" b="0"/>
            <wp:docPr id="11" name="Picture 10">
              <a:extLst xmlns:a="http://schemas.openxmlformats.org/drawingml/2006/main">
                <a:ext uri="{FF2B5EF4-FFF2-40B4-BE49-F238E27FC236}">
                  <a16:creationId xmlns:a16="http://schemas.microsoft.com/office/drawing/2014/main" id="{A6E13FA6-557F-866B-8EEC-D3B1CF39A7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A6E13FA6-557F-866B-8EEC-D3B1CF39A797}"/>
                        </a:ext>
                      </a:extLst>
                    </pic:cNvPr>
                    <pic:cNvPicPr>
                      <a:picLocks noChangeAspect="1"/>
                    </pic:cNvPicPr>
                  </pic:nvPicPr>
                  <pic:blipFill>
                    <a:blip r:embed="rId16"/>
                    <a:stretch>
                      <a:fillRect/>
                    </a:stretch>
                  </pic:blipFill>
                  <pic:spPr>
                    <a:xfrm>
                      <a:off x="0" y="0"/>
                      <a:ext cx="2973037" cy="1308929"/>
                    </a:xfrm>
                    <a:prstGeom prst="rect">
                      <a:avLst/>
                    </a:prstGeom>
                  </pic:spPr>
                </pic:pic>
              </a:graphicData>
            </a:graphic>
          </wp:inline>
        </w:drawing>
      </w:r>
      <w:r w:rsidRPr="00B75480">
        <w:rPr>
          <w:noProof/>
        </w:rPr>
        <w:t xml:space="preserve"> </w:t>
      </w:r>
      <w:r w:rsidRPr="00B75480">
        <w:rPr>
          <w:lang w:eastAsia="ja-JP"/>
        </w:rPr>
        <w:drawing>
          <wp:inline distT="0" distB="0" distL="0" distR="0" wp14:anchorId="3E99C4A6" wp14:editId="6A7684CA">
            <wp:extent cx="2933395" cy="1238545"/>
            <wp:effectExtent l="0" t="0" r="635" b="0"/>
            <wp:docPr id="19" name="Picture 18">
              <a:extLst xmlns:a="http://schemas.openxmlformats.org/drawingml/2006/main">
                <a:ext uri="{FF2B5EF4-FFF2-40B4-BE49-F238E27FC236}">
                  <a16:creationId xmlns:a16="http://schemas.microsoft.com/office/drawing/2014/main" id="{83C0A33F-57FC-4D7C-D112-AA14D888B6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83C0A33F-57FC-4D7C-D112-AA14D888B69B}"/>
                        </a:ext>
                      </a:extLst>
                    </pic:cNvPr>
                    <pic:cNvPicPr>
                      <a:picLocks noChangeAspect="1"/>
                    </pic:cNvPicPr>
                  </pic:nvPicPr>
                  <pic:blipFill>
                    <a:blip r:embed="rId17"/>
                    <a:stretch>
                      <a:fillRect/>
                    </a:stretch>
                  </pic:blipFill>
                  <pic:spPr>
                    <a:xfrm>
                      <a:off x="0" y="0"/>
                      <a:ext cx="2937214" cy="1240158"/>
                    </a:xfrm>
                    <a:prstGeom prst="rect">
                      <a:avLst/>
                    </a:prstGeom>
                  </pic:spPr>
                </pic:pic>
              </a:graphicData>
            </a:graphic>
          </wp:inline>
        </w:drawing>
      </w:r>
    </w:p>
    <w:p w14:paraId="5A279C82" w14:textId="40ABA1D3" w:rsidR="00B75480" w:rsidRDefault="00B75480" w:rsidP="00B75480">
      <w:pPr>
        <w:pStyle w:val="Caption"/>
        <w:rPr>
          <w:b w:val="0"/>
          <w:bCs/>
        </w:rPr>
      </w:pPr>
      <w:bookmarkStart w:id="14" w:name="_Ref135071372"/>
      <w:r>
        <w:t xml:space="preserve">Figure </w:t>
      </w:r>
      <w:r>
        <w:fldChar w:fldCharType="begin"/>
      </w:r>
      <w:r>
        <w:instrText xml:space="preserve"> SEQ Figure \* ARABIC </w:instrText>
      </w:r>
      <w:r>
        <w:fldChar w:fldCharType="separate"/>
      </w:r>
      <w:r>
        <w:rPr>
          <w:noProof/>
        </w:rPr>
        <w:t>5</w:t>
      </w:r>
      <w:r>
        <w:fldChar w:fldCharType="end"/>
      </w:r>
      <w:bookmarkEnd w:id="14"/>
      <w:r>
        <w:t xml:space="preserve">: </w:t>
      </w:r>
      <w:r>
        <w:t>WF [1] MPR proposals for 1Tx PC3 (left) 2Tx PC5 (right)</w:t>
      </w:r>
    </w:p>
    <w:p w14:paraId="6E952518" w14:textId="792A6722" w:rsidR="00465312" w:rsidRDefault="00B75480" w:rsidP="00B3359A">
      <w:pPr>
        <w:jc w:val="both"/>
        <w:rPr>
          <w:b/>
          <w:bCs/>
        </w:rPr>
      </w:pPr>
      <w:r w:rsidRPr="006741DC">
        <w:rPr>
          <w:b/>
          <w:bCs/>
        </w:rPr>
        <w:t xml:space="preserve">Observation </w:t>
      </w:r>
      <w:r>
        <w:rPr>
          <w:b/>
          <w:bCs/>
        </w:rPr>
        <w:t>5</w:t>
      </w:r>
      <w:r w:rsidRPr="006741DC">
        <w:rPr>
          <w:b/>
          <w:bCs/>
        </w:rPr>
        <w:t>:</w:t>
      </w:r>
      <w:r>
        <w:rPr>
          <w:b/>
          <w:bCs/>
        </w:rPr>
        <w:t xml:space="preserve"> </w:t>
      </w:r>
    </w:p>
    <w:p w14:paraId="660E5933" w14:textId="21E9B90F" w:rsidR="00B75480" w:rsidRPr="00B75480" w:rsidRDefault="00B75480" w:rsidP="00B75480">
      <w:pPr>
        <w:pStyle w:val="ListParagraph"/>
        <w:numPr>
          <w:ilvl w:val="0"/>
          <w:numId w:val="32"/>
        </w:numPr>
        <w:jc w:val="both"/>
        <w:rPr>
          <w:b/>
          <w:bCs/>
          <w:lang w:eastAsia="ja-JP"/>
        </w:rPr>
      </w:pPr>
      <w:r w:rsidRPr="00B75480">
        <w:rPr>
          <w:b/>
          <w:bCs/>
          <w:lang w:eastAsia="ja-JP"/>
        </w:rPr>
        <w:t>for CP-OFDM: we do not observe the need for higher MPR for Partial allocations vs Full. The same MPR should be allowed for both types of waveforms and both 1Tx PC3 and 2Tx PC5. See yellow highlighted text.</w:t>
      </w:r>
    </w:p>
    <w:p w14:paraId="1162CDC8" w14:textId="17DCAB4A" w:rsidR="00B75480" w:rsidRPr="00B75480" w:rsidRDefault="00B75480" w:rsidP="00B75480">
      <w:pPr>
        <w:pStyle w:val="ListParagraph"/>
        <w:numPr>
          <w:ilvl w:val="0"/>
          <w:numId w:val="32"/>
        </w:numPr>
        <w:jc w:val="both"/>
        <w:rPr>
          <w:b/>
          <w:bCs/>
          <w:lang w:eastAsia="ja-JP"/>
        </w:rPr>
      </w:pPr>
      <w:r w:rsidRPr="00B75480">
        <w:rPr>
          <w:b/>
          <w:bCs/>
          <w:lang w:eastAsia="ja-JP"/>
        </w:rPr>
        <w:t>For 256QAM: we agree that NR PC3 6.5dB and 4.5dB MPR should also apply to NR-U PC3. However, 1Tx PC5 has greater allowance, this should be corrected and aligned with PC3 allowance.</w:t>
      </w:r>
    </w:p>
    <w:p w14:paraId="38E86151" w14:textId="23DA4775" w:rsidR="00B75480" w:rsidRPr="00B75480" w:rsidRDefault="00B75480" w:rsidP="00B75480">
      <w:pPr>
        <w:pStyle w:val="ListParagraph"/>
        <w:numPr>
          <w:ilvl w:val="0"/>
          <w:numId w:val="32"/>
        </w:numPr>
        <w:jc w:val="both"/>
        <w:rPr>
          <w:b/>
          <w:bCs/>
          <w:lang w:eastAsia="ja-JP"/>
        </w:rPr>
      </w:pPr>
      <w:r w:rsidRPr="00B75480">
        <w:rPr>
          <w:b/>
          <w:bCs/>
          <w:lang w:eastAsia="ja-JP"/>
        </w:rPr>
        <w:t xml:space="preserve">For 2Tx PC5 vs 1Tx PC3, we note that the allowance to account for reverse IMD is inconsistent across modulation </w:t>
      </w:r>
      <w:proofErr w:type="gramStart"/>
      <w:r w:rsidRPr="00B75480">
        <w:rPr>
          <w:b/>
          <w:bCs/>
          <w:lang w:eastAsia="ja-JP"/>
        </w:rPr>
        <w:t>orders</w:t>
      </w:r>
      <w:proofErr w:type="gramEnd"/>
    </w:p>
    <w:p w14:paraId="3A407FE3" w14:textId="623368E6" w:rsidR="00B75480" w:rsidRPr="00B75480" w:rsidRDefault="00B75480" w:rsidP="00B75480">
      <w:pPr>
        <w:pStyle w:val="ListParagraph"/>
        <w:numPr>
          <w:ilvl w:val="1"/>
          <w:numId w:val="32"/>
        </w:numPr>
        <w:jc w:val="both"/>
        <w:rPr>
          <w:b/>
          <w:bCs/>
          <w:lang w:eastAsia="ja-JP"/>
        </w:rPr>
      </w:pPr>
      <w:r w:rsidRPr="00B75480">
        <w:rPr>
          <w:b/>
          <w:bCs/>
          <w:lang w:eastAsia="ja-JP"/>
        </w:rPr>
        <w:t>For DFT, the MPR difference is:</w:t>
      </w:r>
    </w:p>
    <w:p w14:paraId="44363788" w14:textId="26011A50" w:rsidR="00B75480" w:rsidRPr="00B75480" w:rsidRDefault="00B75480" w:rsidP="00B75480">
      <w:pPr>
        <w:pStyle w:val="ListParagraph"/>
        <w:numPr>
          <w:ilvl w:val="2"/>
          <w:numId w:val="32"/>
        </w:numPr>
        <w:jc w:val="both"/>
        <w:rPr>
          <w:b/>
          <w:bCs/>
          <w:lang w:eastAsia="ja-JP"/>
        </w:rPr>
      </w:pPr>
      <w:r w:rsidRPr="00B75480">
        <w:rPr>
          <w:b/>
          <w:bCs/>
          <w:lang w:eastAsia="ja-JP"/>
        </w:rPr>
        <w:t>+0.5dB for BPSK, QPSK</w:t>
      </w:r>
      <w:r w:rsidR="00CF3A4D">
        <w:rPr>
          <w:b/>
          <w:bCs/>
          <w:lang w:eastAsia="ja-JP"/>
        </w:rPr>
        <w:t>,</w:t>
      </w:r>
      <w:r w:rsidRPr="00B75480">
        <w:rPr>
          <w:b/>
          <w:bCs/>
          <w:lang w:eastAsia="ja-JP"/>
        </w:rPr>
        <w:t xml:space="preserve"> 16QAM</w:t>
      </w:r>
    </w:p>
    <w:p w14:paraId="54029B7D" w14:textId="11B3EFB3" w:rsidR="00B75480" w:rsidRPr="00B75480" w:rsidRDefault="00B75480" w:rsidP="00B75480">
      <w:pPr>
        <w:pStyle w:val="ListParagraph"/>
        <w:numPr>
          <w:ilvl w:val="2"/>
          <w:numId w:val="32"/>
        </w:numPr>
        <w:jc w:val="both"/>
        <w:rPr>
          <w:b/>
          <w:bCs/>
          <w:lang w:eastAsia="ja-JP"/>
        </w:rPr>
      </w:pPr>
      <w:r w:rsidRPr="00B75480">
        <w:rPr>
          <w:b/>
          <w:bCs/>
          <w:lang w:eastAsia="ja-JP"/>
        </w:rPr>
        <w:t>-1.0 dB for 64QAM</w:t>
      </w:r>
    </w:p>
    <w:p w14:paraId="67EDDAF1" w14:textId="3B3883FC" w:rsidR="00B75480" w:rsidRPr="00B75480" w:rsidRDefault="00B75480" w:rsidP="00B75480">
      <w:pPr>
        <w:pStyle w:val="ListParagraph"/>
        <w:numPr>
          <w:ilvl w:val="2"/>
          <w:numId w:val="32"/>
        </w:numPr>
        <w:jc w:val="both"/>
        <w:rPr>
          <w:b/>
          <w:bCs/>
          <w:lang w:eastAsia="ja-JP"/>
        </w:rPr>
      </w:pPr>
      <w:r w:rsidRPr="00B75480">
        <w:rPr>
          <w:b/>
          <w:bCs/>
          <w:lang w:eastAsia="ja-JP"/>
        </w:rPr>
        <w:t>-0.5dB for 256QAM</w:t>
      </w:r>
    </w:p>
    <w:p w14:paraId="7541675E" w14:textId="6CEE71C2" w:rsidR="00B75480" w:rsidRPr="00B75480" w:rsidRDefault="00B75480" w:rsidP="00B75480">
      <w:pPr>
        <w:pStyle w:val="ListParagraph"/>
        <w:numPr>
          <w:ilvl w:val="1"/>
          <w:numId w:val="32"/>
        </w:numPr>
        <w:jc w:val="both"/>
        <w:rPr>
          <w:b/>
          <w:bCs/>
          <w:lang w:eastAsia="ja-JP"/>
        </w:rPr>
      </w:pPr>
      <w:r w:rsidRPr="00B75480">
        <w:rPr>
          <w:b/>
          <w:bCs/>
          <w:lang w:eastAsia="ja-JP"/>
        </w:rPr>
        <w:t xml:space="preserve">For CP-OFDM, the MPR difference </w:t>
      </w:r>
      <w:proofErr w:type="gramStart"/>
      <w:r w:rsidRPr="00B75480">
        <w:rPr>
          <w:b/>
          <w:bCs/>
          <w:lang w:eastAsia="ja-JP"/>
        </w:rPr>
        <w:t>is</w:t>
      </w:r>
      <w:proofErr w:type="gramEnd"/>
      <w:r w:rsidRPr="00B75480">
        <w:rPr>
          <w:b/>
          <w:bCs/>
          <w:lang w:eastAsia="ja-JP"/>
        </w:rPr>
        <w:t xml:space="preserve"> </w:t>
      </w:r>
    </w:p>
    <w:p w14:paraId="1B51B90D" w14:textId="1287097A" w:rsidR="00B75480" w:rsidRPr="00B75480" w:rsidRDefault="00B75480" w:rsidP="00B75480">
      <w:pPr>
        <w:pStyle w:val="ListParagraph"/>
        <w:numPr>
          <w:ilvl w:val="2"/>
          <w:numId w:val="32"/>
        </w:numPr>
        <w:jc w:val="both"/>
        <w:rPr>
          <w:b/>
          <w:bCs/>
          <w:lang w:eastAsia="ja-JP"/>
        </w:rPr>
      </w:pPr>
      <w:r w:rsidRPr="00B75480">
        <w:rPr>
          <w:b/>
          <w:bCs/>
          <w:lang w:eastAsia="ja-JP"/>
        </w:rPr>
        <w:t>0dB for QPS</w:t>
      </w:r>
      <w:r w:rsidRPr="00B75480">
        <w:rPr>
          <w:b/>
          <w:bCs/>
          <w:lang w:eastAsia="ja-JP"/>
        </w:rPr>
        <w:t>K</w:t>
      </w:r>
    </w:p>
    <w:p w14:paraId="2934E11F" w14:textId="41740DE7" w:rsidR="00B75480" w:rsidRPr="00B75480" w:rsidRDefault="00B75480" w:rsidP="00B75480">
      <w:pPr>
        <w:pStyle w:val="ListParagraph"/>
        <w:numPr>
          <w:ilvl w:val="2"/>
          <w:numId w:val="32"/>
        </w:numPr>
        <w:jc w:val="both"/>
        <w:rPr>
          <w:b/>
          <w:bCs/>
          <w:lang w:eastAsia="ja-JP"/>
        </w:rPr>
      </w:pPr>
      <w:r w:rsidRPr="00B75480">
        <w:rPr>
          <w:b/>
          <w:bCs/>
          <w:lang w:eastAsia="ja-JP"/>
        </w:rPr>
        <w:t>-0.5dB for 16QAM</w:t>
      </w:r>
    </w:p>
    <w:p w14:paraId="6CAD1AFB" w14:textId="02CE39E8" w:rsidR="00B75480" w:rsidRPr="00B75480" w:rsidRDefault="00B75480" w:rsidP="00B75480">
      <w:pPr>
        <w:pStyle w:val="ListParagraph"/>
        <w:numPr>
          <w:ilvl w:val="2"/>
          <w:numId w:val="32"/>
        </w:numPr>
        <w:jc w:val="both"/>
        <w:rPr>
          <w:b/>
          <w:bCs/>
          <w:lang w:eastAsia="ja-JP"/>
        </w:rPr>
      </w:pPr>
      <w:r w:rsidRPr="00B75480">
        <w:rPr>
          <w:b/>
          <w:bCs/>
          <w:lang w:eastAsia="ja-JP"/>
        </w:rPr>
        <w:t>-1.0dB for 64QAM</w:t>
      </w:r>
    </w:p>
    <w:p w14:paraId="79CC592C" w14:textId="660332A1" w:rsidR="00B75480" w:rsidRPr="00B75480" w:rsidRDefault="00B75480" w:rsidP="00B75480">
      <w:pPr>
        <w:pStyle w:val="ListParagraph"/>
        <w:numPr>
          <w:ilvl w:val="2"/>
          <w:numId w:val="32"/>
        </w:numPr>
        <w:jc w:val="both"/>
        <w:rPr>
          <w:b/>
          <w:bCs/>
          <w:lang w:eastAsia="ja-JP"/>
        </w:rPr>
      </w:pPr>
      <w:r w:rsidRPr="00B75480">
        <w:rPr>
          <w:b/>
          <w:bCs/>
          <w:lang w:eastAsia="ja-JP"/>
        </w:rPr>
        <w:t>-0.5dB for 256QAM</w:t>
      </w:r>
    </w:p>
    <w:p w14:paraId="2F5E7D04" w14:textId="56EED27A" w:rsidR="00B75480" w:rsidRPr="00B75480" w:rsidRDefault="00B75480" w:rsidP="00B75480">
      <w:pPr>
        <w:ind w:left="1800"/>
        <w:jc w:val="both"/>
        <w:rPr>
          <w:b/>
          <w:bCs/>
          <w:lang w:eastAsia="ja-JP"/>
        </w:rPr>
      </w:pPr>
      <w:r w:rsidRPr="00B75480">
        <w:rPr>
          <w:b/>
          <w:bCs/>
          <w:lang w:eastAsia="ja-JP"/>
        </w:rPr>
        <w:t>This is not inline with studies performed for NR 1Tx PC3 vs 2Tx PC3. Reverse IMD contribution should be positive and consistent across modulation orders.</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C22BFEC" w14:textId="354B2B68" w:rsidR="00BD5C7F" w:rsidRDefault="00BD5C7F" w:rsidP="00BD5C7F">
      <w:pPr>
        <w:spacing w:after="120"/>
        <w:jc w:val="both"/>
      </w:pPr>
      <w:r>
        <w:t xml:space="preserve">In this contribution, we </w:t>
      </w:r>
      <w:r w:rsidR="00B75480">
        <w:t>present some measurement data for 1Tx PC5, 2Tx PC5 and 1Tx PC3 and make the following observations.</w:t>
      </w:r>
    </w:p>
    <w:p w14:paraId="53F841B2" w14:textId="77777777" w:rsidR="00B75480" w:rsidRPr="00465312" w:rsidRDefault="00B75480" w:rsidP="00B75480">
      <w:pPr>
        <w:jc w:val="both"/>
        <w:rPr>
          <w:b/>
          <w:bCs/>
          <w:lang w:eastAsia="ja-JP"/>
        </w:rPr>
      </w:pPr>
      <w:r w:rsidRPr="00465312">
        <w:rPr>
          <w:b/>
          <w:bCs/>
          <w:lang w:eastAsia="ja-JP"/>
        </w:rPr>
        <w:lastRenderedPageBreak/>
        <w:t>Proposal 1: Adopt the following definitions for NR-U Full/Partial RB allocation:</w:t>
      </w:r>
    </w:p>
    <w:p w14:paraId="75FD3615" w14:textId="77777777" w:rsidR="00B75480" w:rsidRPr="00465312" w:rsidRDefault="00B75480" w:rsidP="00B75480">
      <w:pPr>
        <w:jc w:val="both"/>
        <w:rPr>
          <w:b/>
          <w:bCs/>
          <w:lang w:eastAsia="ja-JP"/>
        </w:rPr>
      </w:pPr>
      <w:r w:rsidRPr="00465312">
        <w:rPr>
          <w:b/>
          <w:bCs/>
          <w:lang w:eastAsia="ja-JP"/>
        </w:rPr>
        <w:t>Partial RB allocations are interlaced waveforms of resource allocation type 2 as specified in TS 38.214. An allocation that is not a partial allocation is a full allocation.</w:t>
      </w:r>
    </w:p>
    <w:p w14:paraId="0E10BD77" w14:textId="77777777" w:rsidR="00B75480" w:rsidRPr="00465312" w:rsidRDefault="00B75480" w:rsidP="00B75480">
      <w:pPr>
        <w:jc w:val="both"/>
        <w:rPr>
          <w:b/>
          <w:bCs/>
          <w:lang w:eastAsia="ja-JP"/>
        </w:rPr>
      </w:pPr>
      <w:r w:rsidRPr="00465312">
        <w:rPr>
          <w:b/>
          <w:bCs/>
          <w:lang w:eastAsia="ja-JP"/>
        </w:rPr>
        <w:t>Proposal 2: To resolve inconsistencies across the MPR and A-MPR tables of clause 6.2F, it is proposed:</w:t>
      </w:r>
    </w:p>
    <w:p w14:paraId="33413F32" w14:textId="77777777" w:rsidR="00B75480" w:rsidRPr="00465312" w:rsidRDefault="00B75480" w:rsidP="00B75480">
      <w:pPr>
        <w:pStyle w:val="ListParagraph"/>
        <w:numPr>
          <w:ilvl w:val="0"/>
          <w:numId w:val="33"/>
        </w:numPr>
        <w:rPr>
          <w:b/>
          <w:bCs/>
          <w:lang w:eastAsia="ja-JP"/>
        </w:rPr>
      </w:pPr>
      <w:r w:rsidRPr="00465312">
        <w:rPr>
          <w:b/>
          <w:bCs/>
          <w:lang w:eastAsia="ja-JP"/>
        </w:rPr>
        <w:t>to add the definitions of proposal 1 in clause 3.1 “Definitions”, and in the core requirement text of clause 6.1F “General”</w:t>
      </w:r>
    </w:p>
    <w:p w14:paraId="69222725" w14:textId="77777777" w:rsidR="00B75480" w:rsidRDefault="00B75480" w:rsidP="00B75480">
      <w:pPr>
        <w:pStyle w:val="ListParagraph"/>
        <w:numPr>
          <w:ilvl w:val="0"/>
          <w:numId w:val="33"/>
        </w:numPr>
        <w:rPr>
          <w:b/>
          <w:bCs/>
          <w:lang w:eastAsia="ja-JP"/>
        </w:rPr>
      </w:pPr>
      <w:r w:rsidRPr="00465312">
        <w:rPr>
          <w:b/>
          <w:bCs/>
          <w:lang w:eastAsia="ja-JP"/>
        </w:rPr>
        <w:t>to remove/void from footnotes which remind the definition of partial/full RB allocation from each MPR and A-MPR table of clause 6.2F.</w:t>
      </w:r>
    </w:p>
    <w:p w14:paraId="3BE43932" w14:textId="77777777" w:rsidR="00B75480" w:rsidRDefault="00B75480" w:rsidP="00B75480">
      <w:pPr>
        <w:ind w:left="407"/>
        <w:rPr>
          <w:b/>
          <w:bCs/>
          <w:lang w:eastAsia="ja-JP"/>
        </w:rPr>
      </w:pPr>
    </w:p>
    <w:p w14:paraId="5D081BA2" w14:textId="77777777" w:rsidR="00B75480" w:rsidRDefault="00B75480" w:rsidP="00B75480">
      <w:pPr>
        <w:rPr>
          <w:b/>
          <w:bCs/>
        </w:rPr>
      </w:pPr>
      <w:r w:rsidRPr="006741DC">
        <w:rPr>
          <w:b/>
          <w:bCs/>
        </w:rPr>
        <w:t>Observation 1: For CP-OFDM QPSK 1Tx PC5, the PA OBO is dominated by full RB allocation waveforms. This justifies that the MPR for</w:t>
      </w:r>
      <w:r>
        <w:rPr>
          <w:b/>
          <w:bCs/>
        </w:rPr>
        <w:t xml:space="preserve"> CP-OFDM QPSK</w:t>
      </w:r>
      <w:r w:rsidRPr="006741DC">
        <w:rPr>
          <w:b/>
          <w:bCs/>
        </w:rPr>
        <w:t xml:space="preserve"> </w:t>
      </w:r>
      <w:r>
        <w:rPr>
          <w:b/>
          <w:bCs/>
        </w:rPr>
        <w:t>“P</w:t>
      </w:r>
      <w:r w:rsidRPr="006741DC">
        <w:rPr>
          <w:b/>
          <w:bCs/>
        </w:rPr>
        <w:t>artial</w:t>
      </w:r>
      <w:r>
        <w:rPr>
          <w:b/>
          <w:bCs/>
        </w:rPr>
        <w:t>”</w:t>
      </w:r>
      <w:r w:rsidRPr="006741DC">
        <w:rPr>
          <w:b/>
          <w:bCs/>
        </w:rPr>
        <w:t xml:space="preserve"> waveforms does not need to be greater than the MPR for “Full”.</w:t>
      </w:r>
    </w:p>
    <w:p w14:paraId="2048E27A" w14:textId="77777777" w:rsidR="00B75480" w:rsidRDefault="00B75480" w:rsidP="00B75480">
      <w:pPr>
        <w:rPr>
          <w:b/>
          <w:bCs/>
        </w:rPr>
      </w:pPr>
      <w:r w:rsidRPr="006741DC">
        <w:rPr>
          <w:b/>
          <w:bCs/>
        </w:rPr>
        <w:t xml:space="preserve">Observation </w:t>
      </w:r>
      <w:r>
        <w:rPr>
          <w:b/>
          <w:bCs/>
        </w:rPr>
        <w:t>2</w:t>
      </w:r>
      <w:r w:rsidRPr="006741DC">
        <w:rPr>
          <w:b/>
          <w:bCs/>
        </w:rPr>
        <w:t xml:space="preserve">: For </w:t>
      </w:r>
      <w:r>
        <w:rPr>
          <w:b/>
          <w:bCs/>
        </w:rPr>
        <w:t>DFT-s</w:t>
      </w:r>
      <w:r w:rsidRPr="006741DC">
        <w:rPr>
          <w:b/>
          <w:bCs/>
        </w:rPr>
        <w:t xml:space="preserve">-OFDM QPSK 1Tx PC5, the PA OBO is </w:t>
      </w:r>
      <w:r>
        <w:rPr>
          <w:b/>
          <w:bCs/>
        </w:rPr>
        <w:t xml:space="preserve">mostly </w:t>
      </w:r>
      <w:r w:rsidRPr="006741DC">
        <w:rPr>
          <w:b/>
          <w:bCs/>
        </w:rPr>
        <w:t xml:space="preserve">dominated by </w:t>
      </w:r>
      <w:r>
        <w:rPr>
          <w:b/>
          <w:bCs/>
        </w:rPr>
        <w:t xml:space="preserve">partial (interlaced) </w:t>
      </w:r>
      <w:r w:rsidRPr="006741DC">
        <w:rPr>
          <w:b/>
          <w:bCs/>
        </w:rPr>
        <w:t>waveforms. This justifies that the</w:t>
      </w:r>
      <w:r>
        <w:rPr>
          <w:b/>
          <w:bCs/>
        </w:rPr>
        <w:t xml:space="preserve"> higher</w:t>
      </w:r>
      <w:r w:rsidRPr="006741DC">
        <w:rPr>
          <w:b/>
          <w:bCs/>
        </w:rPr>
        <w:t xml:space="preserve"> MPR</w:t>
      </w:r>
      <w:r>
        <w:rPr>
          <w:b/>
          <w:bCs/>
        </w:rPr>
        <w:t xml:space="preserve"> allowance </w:t>
      </w:r>
      <w:r w:rsidRPr="006741DC">
        <w:rPr>
          <w:b/>
          <w:bCs/>
        </w:rPr>
        <w:t>for</w:t>
      </w:r>
      <w:r>
        <w:rPr>
          <w:b/>
          <w:bCs/>
        </w:rPr>
        <w:t xml:space="preserve"> DFT-s-OFDM QPSK</w:t>
      </w:r>
      <w:r w:rsidRPr="006741DC">
        <w:rPr>
          <w:b/>
          <w:bCs/>
        </w:rPr>
        <w:t xml:space="preserve"> </w:t>
      </w:r>
      <w:r>
        <w:rPr>
          <w:b/>
          <w:bCs/>
        </w:rPr>
        <w:t>“P</w:t>
      </w:r>
      <w:r w:rsidRPr="006741DC">
        <w:rPr>
          <w:b/>
          <w:bCs/>
        </w:rPr>
        <w:t>artial</w:t>
      </w:r>
      <w:r>
        <w:rPr>
          <w:b/>
          <w:bCs/>
        </w:rPr>
        <w:t>”</w:t>
      </w:r>
      <w:r w:rsidRPr="006741DC">
        <w:rPr>
          <w:b/>
          <w:bCs/>
        </w:rPr>
        <w:t xml:space="preserve"> waveforms</w:t>
      </w:r>
      <w:r>
        <w:rPr>
          <w:b/>
          <w:bCs/>
        </w:rPr>
        <w:t>.</w:t>
      </w:r>
    </w:p>
    <w:p w14:paraId="4BEC400B" w14:textId="77777777" w:rsidR="00B75480" w:rsidRDefault="00B75480" w:rsidP="00B75480">
      <w:pPr>
        <w:rPr>
          <w:b/>
          <w:bCs/>
        </w:rPr>
      </w:pPr>
      <w:r w:rsidRPr="006741DC">
        <w:rPr>
          <w:b/>
          <w:bCs/>
        </w:rPr>
        <w:t xml:space="preserve">Observation </w:t>
      </w:r>
      <w:r>
        <w:rPr>
          <w:b/>
          <w:bCs/>
        </w:rPr>
        <w:t>3</w:t>
      </w:r>
      <w:r w:rsidRPr="006741DC">
        <w:rPr>
          <w:b/>
          <w:bCs/>
        </w:rPr>
        <w:t xml:space="preserve">: </w:t>
      </w:r>
      <w:r>
        <w:rPr>
          <w:b/>
          <w:bCs/>
        </w:rPr>
        <w:t>For 2Tx PC5, approximately 0.5dB additional back-off is needed across all waveforms and all wideband configurations.</w:t>
      </w:r>
    </w:p>
    <w:p w14:paraId="49116B22" w14:textId="77777777" w:rsidR="00B75480" w:rsidRPr="00B75480" w:rsidRDefault="00B75480" w:rsidP="00B75480">
      <w:pPr>
        <w:jc w:val="both"/>
        <w:rPr>
          <w:b/>
          <w:bCs/>
        </w:rPr>
      </w:pPr>
      <w:r w:rsidRPr="006741DC">
        <w:rPr>
          <w:b/>
          <w:bCs/>
        </w:rPr>
        <w:t xml:space="preserve">Observation </w:t>
      </w:r>
      <w:r>
        <w:rPr>
          <w:b/>
          <w:bCs/>
        </w:rPr>
        <w:t>4</w:t>
      </w:r>
      <w:r w:rsidRPr="006741DC">
        <w:rPr>
          <w:b/>
          <w:bCs/>
        </w:rPr>
        <w:t>:</w:t>
      </w:r>
      <w:r>
        <w:rPr>
          <w:b/>
          <w:bCs/>
        </w:rPr>
        <w:t xml:space="preserve"> Due to lack of time, we are not able to provide detailed OBO results for 1Tx PC3. Our measurements indicate that for 1Tx PC3, WF [1] MPR proposal are sufficient for Full allocations. </w:t>
      </w:r>
      <w:proofErr w:type="gramStart"/>
      <w:r>
        <w:rPr>
          <w:b/>
          <w:bCs/>
        </w:rPr>
        <w:t>However</w:t>
      </w:r>
      <w:proofErr w:type="gramEnd"/>
      <w:r>
        <w:rPr>
          <w:b/>
          <w:bCs/>
        </w:rPr>
        <w:t xml:space="preserve"> for CP-OFDM QPSK partial, we do not see the need for higher OBO than Full OBO. We also observe that the partial 3.5dB MPR is sufficient to cover the case of Full allocations and case B wideband configurations.</w:t>
      </w:r>
    </w:p>
    <w:p w14:paraId="25778289" w14:textId="77777777" w:rsidR="00B75480" w:rsidRDefault="00B75480" w:rsidP="00B75480">
      <w:pPr>
        <w:jc w:val="both"/>
        <w:rPr>
          <w:b/>
          <w:bCs/>
        </w:rPr>
      </w:pPr>
      <w:r w:rsidRPr="006741DC">
        <w:rPr>
          <w:b/>
          <w:bCs/>
        </w:rPr>
        <w:t xml:space="preserve">Observation </w:t>
      </w:r>
      <w:r>
        <w:rPr>
          <w:b/>
          <w:bCs/>
        </w:rPr>
        <w:t>5</w:t>
      </w:r>
      <w:r w:rsidRPr="006741DC">
        <w:rPr>
          <w:b/>
          <w:bCs/>
        </w:rPr>
        <w:t>:</w:t>
      </w:r>
      <w:r>
        <w:rPr>
          <w:b/>
          <w:bCs/>
        </w:rPr>
        <w:t xml:space="preserve"> </w:t>
      </w:r>
    </w:p>
    <w:p w14:paraId="74D795C3" w14:textId="77777777" w:rsidR="00B75480" w:rsidRPr="00B75480" w:rsidRDefault="00B75480" w:rsidP="00B75480">
      <w:pPr>
        <w:pStyle w:val="ListParagraph"/>
        <w:numPr>
          <w:ilvl w:val="0"/>
          <w:numId w:val="32"/>
        </w:numPr>
        <w:jc w:val="both"/>
        <w:rPr>
          <w:b/>
          <w:bCs/>
          <w:lang w:eastAsia="ja-JP"/>
        </w:rPr>
      </w:pPr>
      <w:r w:rsidRPr="00B75480">
        <w:rPr>
          <w:b/>
          <w:bCs/>
          <w:lang w:eastAsia="ja-JP"/>
        </w:rPr>
        <w:t>for CP-OFDM: we do not observe the need for higher MPR for Partial allocations vs Full. The same MPR should be allowed for both types of waveforms and both 1Tx PC3 and 2Tx PC5. See yellow highlighted text.</w:t>
      </w:r>
    </w:p>
    <w:p w14:paraId="0D994B6F" w14:textId="77777777" w:rsidR="00B75480" w:rsidRPr="00B75480" w:rsidRDefault="00B75480" w:rsidP="00B75480">
      <w:pPr>
        <w:pStyle w:val="ListParagraph"/>
        <w:numPr>
          <w:ilvl w:val="0"/>
          <w:numId w:val="32"/>
        </w:numPr>
        <w:jc w:val="both"/>
        <w:rPr>
          <w:b/>
          <w:bCs/>
          <w:lang w:eastAsia="ja-JP"/>
        </w:rPr>
      </w:pPr>
      <w:r w:rsidRPr="00B75480">
        <w:rPr>
          <w:b/>
          <w:bCs/>
          <w:lang w:eastAsia="ja-JP"/>
        </w:rPr>
        <w:t>For 256QAM: we agree that NR PC3 6.5dB and 4.5dB MPR should also apply to NR-U PC3. However, 1Tx PC5 has greater allowance, this should be corrected and aligned with PC3 allowance.</w:t>
      </w:r>
    </w:p>
    <w:p w14:paraId="4CEFA2E3" w14:textId="77777777" w:rsidR="00B75480" w:rsidRPr="00B75480" w:rsidRDefault="00B75480" w:rsidP="00B75480">
      <w:pPr>
        <w:pStyle w:val="ListParagraph"/>
        <w:numPr>
          <w:ilvl w:val="0"/>
          <w:numId w:val="32"/>
        </w:numPr>
        <w:jc w:val="both"/>
        <w:rPr>
          <w:b/>
          <w:bCs/>
          <w:lang w:eastAsia="ja-JP"/>
        </w:rPr>
      </w:pPr>
      <w:r w:rsidRPr="00B75480">
        <w:rPr>
          <w:b/>
          <w:bCs/>
          <w:lang w:eastAsia="ja-JP"/>
        </w:rPr>
        <w:t xml:space="preserve">For 2Tx PC5 vs 1Tx PC3, we note that the allowance to account for reverse IMD is inconsistent across modulation </w:t>
      </w:r>
      <w:proofErr w:type="gramStart"/>
      <w:r w:rsidRPr="00B75480">
        <w:rPr>
          <w:b/>
          <w:bCs/>
          <w:lang w:eastAsia="ja-JP"/>
        </w:rPr>
        <w:t>orders</w:t>
      </w:r>
      <w:proofErr w:type="gramEnd"/>
    </w:p>
    <w:p w14:paraId="2048B5D5" w14:textId="77777777" w:rsidR="00B75480" w:rsidRPr="00B75480" w:rsidRDefault="00B75480" w:rsidP="00B75480">
      <w:pPr>
        <w:pStyle w:val="ListParagraph"/>
        <w:numPr>
          <w:ilvl w:val="1"/>
          <w:numId w:val="32"/>
        </w:numPr>
        <w:jc w:val="both"/>
        <w:rPr>
          <w:b/>
          <w:bCs/>
          <w:lang w:eastAsia="ja-JP"/>
        </w:rPr>
      </w:pPr>
      <w:r w:rsidRPr="00B75480">
        <w:rPr>
          <w:b/>
          <w:bCs/>
          <w:lang w:eastAsia="ja-JP"/>
        </w:rPr>
        <w:t>For DFT, the MPR difference is:</w:t>
      </w:r>
    </w:p>
    <w:p w14:paraId="20747E47" w14:textId="71C4D921" w:rsidR="00B75480" w:rsidRPr="00B75480" w:rsidRDefault="00B75480" w:rsidP="00B75480">
      <w:pPr>
        <w:pStyle w:val="ListParagraph"/>
        <w:numPr>
          <w:ilvl w:val="2"/>
          <w:numId w:val="32"/>
        </w:numPr>
        <w:jc w:val="both"/>
        <w:rPr>
          <w:b/>
          <w:bCs/>
          <w:lang w:eastAsia="ja-JP"/>
        </w:rPr>
      </w:pPr>
      <w:r w:rsidRPr="00B75480">
        <w:rPr>
          <w:b/>
          <w:bCs/>
          <w:lang w:eastAsia="ja-JP"/>
        </w:rPr>
        <w:t>+0.5dB for BPSK, QPSK</w:t>
      </w:r>
      <w:r w:rsidR="00CF3A4D">
        <w:rPr>
          <w:b/>
          <w:bCs/>
          <w:lang w:eastAsia="ja-JP"/>
        </w:rPr>
        <w:t>,</w:t>
      </w:r>
      <w:r w:rsidRPr="00B75480">
        <w:rPr>
          <w:b/>
          <w:bCs/>
          <w:lang w:eastAsia="ja-JP"/>
        </w:rPr>
        <w:t xml:space="preserve"> 16QAM</w:t>
      </w:r>
    </w:p>
    <w:p w14:paraId="301D31BA" w14:textId="77777777" w:rsidR="00B75480" w:rsidRPr="00B75480" w:rsidRDefault="00B75480" w:rsidP="00B75480">
      <w:pPr>
        <w:pStyle w:val="ListParagraph"/>
        <w:numPr>
          <w:ilvl w:val="2"/>
          <w:numId w:val="32"/>
        </w:numPr>
        <w:jc w:val="both"/>
        <w:rPr>
          <w:b/>
          <w:bCs/>
          <w:lang w:eastAsia="ja-JP"/>
        </w:rPr>
      </w:pPr>
      <w:r w:rsidRPr="00B75480">
        <w:rPr>
          <w:b/>
          <w:bCs/>
          <w:lang w:eastAsia="ja-JP"/>
        </w:rPr>
        <w:t>-1.0 dB for 64QAM</w:t>
      </w:r>
    </w:p>
    <w:p w14:paraId="6B096E6E" w14:textId="77777777" w:rsidR="00B75480" w:rsidRPr="00B75480" w:rsidRDefault="00B75480" w:rsidP="00B75480">
      <w:pPr>
        <w:pStyle w:val="ListParagraph"/>
        <w:numPr>
          <w:ilvl w:val="2"/>
          <w:numId w:val="32"/>
        </w:numPr>
        <w:jc w:val="both"/>
        <w:rPr>
          <w:b/>
          <w:bCs/>
          <w:lang w:eastAsia="ja-JP"/>
        </w:rPr>
      </w:pPr>
      <w:r w:rsidRPr="00B75480">
        <w:rPr>
          <w:b/>
          <w:bCs/>
          <w:lang w:eastAsia="ja-JP"/>
        </w:rPr>
        <w:t>-0.5dB for 256QAM</w:t>
      </w:r>
    </w:p>
    <w:p w14:paraId="63DE6533" w14:textId="77777777" w:rsidR="00B75480" w:rsidRPr="00B75480" w:rsidRDefault="00B75480" w:rsidP="00B75480">
      <w:pPr>
        <w:pStyle w:val="ListParagraph"/>
        <w:numPr>
          <w:ilvl w:val="1"/>
          <w:numId w:val="32"/>
        </w:numPr>
        <w:jc w:val="both"/>
        <w:rPr>
          <w:b/>
          <w:bCs/>
          <w:lang w:eastAsia="ja-JP"/>
        </w:rPr>
      </w:pPr>
      <w:r w:rsidRPr="00B75480">
        <w:rPr>
          <w:b/>
          <w:bCs/>
          <w:lang w:eastAsia="ja-JP"/>
        </w:rPr>
        <w:t xml:space="preserve">For CP-OFDM, the MPR difference </w:t>
      </w:r>
      <w:proofErr w:type="gramStart"/>
      <w:r w:rsidRPr="00B75480">
        <w:rPr>
          <w:b/>
          <w:bCs/>
          <w:lang w:eastAsia="ja-JP"/>
        </w:rPr>
        <w:t>is</w:t>
      </w:r>
      <w:proofErr w:type="gramEnd"/>
      <w:r w:rsidRPr="00B75480">
        <w:rPr>
          <w:b/>
          <w:bCs/>
          <w:lang w:eastAsia="ja-JP"/>
        </w:rPr>
        <w:t xml:space="preserve"> </w:t>
      </w:r>
    </w:p>
    <w:p w14:paraId="65DD3D73" w14:textId="77777777" w:rsidR="00B75480" w:rsidRPr="00B75480" w:rsidRDefault="00B75480" w:rsidP="00B75480">
      <w:pPr>
        <w:pStyle w:val="ListParagraph"/>
        <w:numPr>
          <w:ilvl w:val="2"/>
          <w:numId w:val="32"/>
        </w:numPr>
        <w:jc w:val="both"/>
        <w:rPr>
          <w:b/>
          <w:bCs/>
          <w:lang w:eastAsia="ja-JP"/>
        </w:rPr>
      </w:pPr>
      <w:r w:rsidRPr="00B75480">
        <w:rPr>
          <w:b/>
          <w:bCs/>
          <w:lang w:eastAsia="ja-JP"/>
        </w:rPr>
        <w:t>0dB for QPSK</w:t>
      </w:r>
    </w:p>
    <w:p w14:paraId="738B6281" w14:textId="77777777" w:rsidR="00B75480" w:rsidRPr="00B75480" w:rsidRDefault="00B75480" w:rsidP="00B75480">
      <w:pPr>
        <w:pStyle w:val="ListParagraph"/>
        <w:numPr>
          <w:ilvl w:val="2"/>
          <w:numId w:val="32"/>
        </w:numPr>
        <w:jc w:val="both"/>
        <w:rPr>
          <w:b/>
          <w:bCs/>
          <w:lang w:eastAsia="ja-JP"/>
        </w:rPr>
      </w:pPr>
      <w:r w:rsidRPr="00B75480">
        <w:rPr>
          <w:b/>
          <w:bCs/>
          <w:lang w:eastAsia="ja-JP"/>
        </w:rPr>
        <w:t>-0.5dB for 16QAM</w:t>
      </w:r>
    </w:p>
    <w:p w14:paraId="454EE720" w14:textId="77777777" w:rsidR="00B75480" w:rsidRPr="00B75480" w:rsidRDefault="00B75480" w:rsidP="00B75480">
      <w:pPr>
        <w:pStyle w:val="ListParagraph"/>
        <w:numPr>
          <w:ilvl w:val="2"/>
          <w:numId w:val="32"/>
        </w:numPr>
        <w:jc w:val="both"/>
        <w:rPr>
          <w:b/>
          <w:bCs/>
          <w:lang w:eastAsia="ja-JP"/>
        </w:rPr>
      </w:pPr>
      <w:r w:rsidRPr="00B75480">
        <w:rPr>
          <w:b/>
          <w:bCs/>
          <w:lang w:eastAsia="ja-JP"/>
        </w:rPr>
        <w:t>-1.0dB for 64QAM</w:t>
      </w:r>
    </w:p>
    <w:p w14:paraId="7F057EA1" w14:textId="77777777" w:rsidR="00B75480" w:rsidRPr="00B75480" w:rsidRDefault="00B75480" w:rsidP="00B75480">
      <w:pPr>
        <w:pStyle w:val="ListParagraph"/>
        <w:numPr>
          <w:ilvl w:val="2"/>
          <w:numId w:val="32"/>
        </w:numPr>
        <w:jc w:val="both"/>
        <w:rPr>
          <w:b/>
          <w:bCs/>
          <w:lang w:eastAsia="ja-JP"/>
        </w:rPr>
      </w:pPr>
      <w:r w:rsidRPr="00B75480">
        <w:rPr>
          <w:b/>
          <w:bCs/>
          <w:lang w:eastAsia="ja-JP"/>
        </w:rPr>
        <w:t>-0.5dB for 256QAM</w:t>
      </w:r>
    </w:p>
    <w:p w14:paraId="1ED346DD" w14:textId="0F143462" w:rsidR="00B75480" w:rsidRPr="00B75480" w:rsidRDefault="00B75480" w:rsidP="00B75480">
      <w:pPr>
        <w:ind w:left="1800"/>
        <w:jc w:val="both"/>
        <w:rPr>
          <w:b/>
          <w:bCs/>
          <w:lang w:eastAsia="ja-JP"/>
        </w:rPr>
      </w:pPr>
      <w:r w:rsidRPr="00B75480">
        <w:rPr>
          <w:b/>
          <w:bCs/>
          <w:lang w:eastAsia="ja-JP"/>
        </w:rPr>
        <w:t xml:space="preserve">This is not </w:t>
      </w:r>
      <w:proofErr w:type="spellStart"/>
      <w:r w:rsidRPr="00B75480">
        <w:rPr>
          <w:b/>
          <w:bCs/>
          <w:lang w:eastAsia="ja-JP"/>
        </w:rPr>
        <w:t>inline</w:t>
      </w:r>
      <w:proofErr w:type="spellEnd"/>
      <w:r w:rsidRPr="00B75480">
        <w:rPr>
          <w:b/>
          <w:bCs/>
          <w:lang w:eastAsia="ja-JP"/>
        </w:rPr>
        <w:t xml:space="preserve"> with studies performed for NR 1Tx PC3 vs 2Tx PC3. Reverse IMD contribution should be positive and consistent across modulation orders.</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6879510C" w14:textId="2748186C" w:rsidR="00A24BDF" w:rsidRDefault="00AA125B" w:rsidP="00206092">
      <w:pPr>
        <w:spacing w:after="120"/>
        <w:ind w:left="564" w:hanging="564"/>
        <w:rPr>
          <w:lang w:val="pt-BR" w:eastAsia="ja-JP"/>
        </w:rPr>
      </w:pPr>
      <w:r w:rsidRPr="006F0FF1">
        <w:rPr>
          <w:rFonts w:hint="eastAsia"/>
          <w:lang w:val="pt-BR" w:eastAsia="ja-JP"/>
        </w:rPr>
        <w:t>[1]</w:t>
      </w:r>
      <w:r w:rsidRPr="006F0FF1">
        <w:rPr>
          <w:lang w:val="pt-BR" w:eastAsia="ja-JP"/>
        </w:rPr>
        <w:tab/>
      </w:r>
      <w:r w:rsidR="00DB68E8" w:rsidRPr="00DB68E8">
        <w:rPr>
          <w:lang w:val="pt-BR" w:eastAsia="ja-JP"/>
        </w:rPr>
        <w:t>R4-2306557</w:t>
      </w:r>
      <w:r w:rsidR="00DB68E8">
        <w:rPr>
          <w:lang w:val="pt-BR" w:eastAsia="ja-JP"/>
        </w:rPr>
        <w:t xml:space="preserve"> </w:t>
      </w:r>
      <w:r w:rsidR="00DB68E8" w:rsidRPr="00DB68E8">
        <w:rPr>
          <w:lang w:val="pt-BR" w:eastAsia="ja-JP"/>
        </w:rPr>
        <w:t>WF on NR-U enhancement topics</w:t>
      </w:r>
      <w:r w:rsidRPr="00187497">
        <w:rPr>
          <w:lang w:val="pt-BR" w:eastAsia="ja-JP"/>
        </w:rPr>
        <w:t xml:space="preserve">, </w:t>
      </w:r>
      <w:r w:rsidR="00C52C8E" w:rsidRPr="00C52C8E">
        <w:rPr>
          <w:lang w:val="pt-BR" w:eastAsia="ja-JP"/>
        </w:rPr>
        <w:t>3GPP TSG RAN</w:t>
      </w:r>
      <w:r w:rsidR="00206092">
        <w:rPr>
          <w:lang w:val="pt-BR" w:eastAsia="ja-JP"/>
        </w:rPr>
        <w:t>4</w:t>
      </w:r>
      <w:r w:rsidR="00C52C8E" w:rsidRPr="00C52C8E">
        <w:rPr>
          <w:lang w:val="pt-BR" w:eastAsia="ja-JP"/>
        </w:rPr>
        <w:t xml:space="preserve"> Meeting #</w:t>
      </w:r>
      <w:r w:rsidR="00206092">
        <w:rPr>
          <w:lang w:val="pt-BR" w:eastAsia="ja-JP"/>
        </w:rPr>
        <w:t>106bis-e</w:t>
      </w:r>
      <w:r w:rsidR="00C52C8E">
        <w:rPr>
          <w:lang w:val="pt-BR" w:eastAsia="ja-JP"/>
        </w:rPr>
        <w:t xml:space="preserve">, </w:t>
      </w:r>
      <w:r w:rsidR="00206092">
        <w:rPr>
          <w:lang w:val="pt-BR" w:eastAsia="ja-JP"/>
        </w:rPr>
        <w:t>Electronic meeting</w:t>
      </w:r>
      <w:r w:rsidR="00C52C8E" w:rsidRPr="00C52C8E">
        <w:rPr>
          <w:lang w:val="pt-BR" w:eastAsia="ja-JP"/>
        </w:rPr>
        <w:t>,</w:t>
      </w:r>
      <w:r w:rsidR="006F2436">
        <w:rPr>
          <w:lang w:val="pt-BR" w:eastAsia="ja-JP"/>
        </w:rPr>
        <w:t xml:space="preserve"> </w:t>
      </w:r>
      <w:r w:rsidR="00DB68E8">
        <w:rPr>
          <w:lang w:val="pt-BR" w:eastAsia="ja-JP"/>
        </w:rPr>
        <w:t>Apple</w:t>
      </w:r>
      <w:r w:rsidR="00206092">
        <w:rPr>
          <w:lang w:val="pt-BR" w:eastAsia="ja-JP"/>
        </w:rPr>
        <w:t>.</w:t>
      </w:r>
    </w:p>
    <w:p w14:paraId="5EFD3ABB" w14:textId="0EF75C47" w:rsidR="00465312" w:rsidRDefault="00465312" w:rsidP="00206092">
      <w:pPr>
        <w:spacing w:after="120"/>
        <w:ind w:left="564" w:hanging="564"/>
        <w:rPr>
          <w:lang w:val="pt-BR" w:eastAsia="ja-JP"/>
        </w:rPr>
      </w:pPr>
      <w:r>
        <w:rPr>
          <w:lang w:val="pt-BR" w:eastAsia="ja-JP"/>
        </w:rPr>
        <w:t xml:space="preserve">[2] </w:t>
      </w:r>
      <w:r>
        <w:rPr>
          <w:lang w:val="pt-BR" w:eastAsia="ja-JP"/>
        </w:rPr>
        <w:tab/>
      </w:r>
      <w:r w:rsidRPr="00465312">
        <w:rPr>
          <w:lang w:val="pt-BR" w:eastAsia="ja-JP"/>
        </w:rPr>
        <w:t>R4-2217131</w:t>
      </w:r>
      <w:r>
        <w:rPr>
          <w:lang w:val="pt-BR" w:eastAsia="ja-JP"/>
        </w:rPr>
        <w:t xml:space="preserve"> </w:t>
      </w:r>
      <w:r w:rsidRPr="00465312">
        <w:rPr>
          <w:lang w:val="pt-BR" w:eastAsia="ja-JP"/>
        </w:rPr>
        <w:t>WF on NR-U PC3 requirements and MPR/A-MPR</w:t>
      </w:r>
      <w:r>
        <w:rPr>
          <w:lang w:val="pt-BR" w:eastAsia="ja-JP"/>
        </w:rPr>
        <w:t xml:space="preserve">, </w:t>
      </w:r>
      <w:r w:rsidRPr="00465312">
        <w:rPr>
          <w:lang w:val="pt-BR" w:eastAsia="ja-JP"/>
        </w:rPr>
        <w:t>3GPP TSG-RAN WG4 Meeting #104bis-e</w:t>
      </w:r>
      <w:r>
        <w:rPr>
          <w:lang w:val="pt-BR" w:eastAsia="ja-JP"/>
        </w:rPr>
        <w:t xml:space="preserve">, </w:t>
      </w:r>
      <w:r>
        <w:rPr>
          <w:lang w:val="pt-BR" w:eastAsia="ja-JP"/>
        </w:rPr>
        <w:t>Electronic meeting</w:t>
      </w:r>
      <w:r w:rsidRPr="00C52C8E">
        <w:rPr>
          <w:lang w:val="pt-BR" w:eastAsia="ja-JP"/>
        </w:rPr>
        <w:t>,</w:t>
      </w:r>
      <w:r>
        <w:rPr>
          <w:lang w:val="pt-BR" w:eastAsia="ja-JP"/>
        </w:rPr>
        <w:t xml:space="preserve"> </w:t>
      </w:r>
      <w:r w:rsidRPr="00465312">
        <w:rPr>
          <w:lang w:val="pt-BR" w:eastAsia="ja-JP"/>
        </w:rPr>
        <w:t>Charter Communications, Inc.</w:t>
      </w:r>
    </w:p>
    <w:p w14:paraId="27FD36D9" w14:textId="6161B2D1" w:rsidR="00A45867" w:rsidRDefault="00A45867" w:rsidP="00A45867">
      <w:pPr>
        <w:spacing w:after="120"/>
        <w:ind w:left="564" w:hanging="564"/>
        <w:rPr>
          <w:lang w:val="pt-BR" w:eastAsia="ja-JP"/>
        </w:rPr>
      </w:pPr>
      <w:r>
        <w:rPr>
          <w:lang w:val="pt-BR" w:eastAsia="ja-JP"/>
        </w:rPr>
        <w:t xml:space="preserve">[3] </w:t>
      </w:r>
      <w:r>
        <w:rPr>
          <w:lang w:val="pt-BR" w:eastAsia="ja-JP"/>
        </w:rPr>
        <w:tab/>
      </w:r>
      <w:r w:rsidRPr="00A45867">
        <w:rPr>
          <w:lang w:val="pt-BR" w:eastAsia="ja-JP"/>
        </w:rPr>
        <w:t>R4-2213991</w:t>
      </w:r>
      <w:r>
        <w:rPr>
          <w:lang w:val="pt-BR" w:eastAsia="ja-JP"/>
        </w:rPr>
        <w:t xml:space="preserve"> </w:t>
      </w:r>
      <w:r w:rsidRPr="00A45867">
        <w:rPr>
          <w:lang w:val="pt-BR" w:eastAsia="ja-JP"/>
        </w:rPr>
        <w:t>Corrections to NRU 100MHz MPR</w:t>
      </w:r>
      <w:r>
        <w:rPr>
          <w:lang w:val="pt-BR" w:eastAsia="ja-JP"/>
        </w:rPr>
        <w:t xml:space="preserve">, </w:t>
      </w:r>
      <w:r w:rsidRPr="00465312">
        <w:rPr>
          <w:lang w:val="pt-BR" w:eastAsia="ja-JP"/>
        </w:rPr>
        <w:t>3GPP TSG-RAN WG4 Meeting #104</w:t>
      </w:r>
      <w:r>
        <w:rPr>
          <w:lang w:val="pt-BR" w:eastAsia="ja-JP"/>
        </w:rPr>
        <w:t>-</w:t>
      </w:r>
      <w:r w:rsidRPr="00465312">
        <w:rPr>
          <w:lang w:val="pt-BR" w:eastAsia="ja-JP"/>
        </w:rPr>
        <w:t>e</w:t>
      </w:r>
      <w:r>
        <w:rPr>
          <w:lang w:val="pt-BR" w:eastAsia="ja-JP"/>
        </w:rPr>
        <w:t>, Electronic meeting</w:t>
      </w:r>
      <w:r w:rsidRPr="00C52C8E">
        <w:rPr>
          <w:lang w:val="pt-BR" w:eastAsia="ja-JP"/>
        </w:rPr>
        <w:t>,</w:t>
      </w:r>
      <w:r>
        <w:rPr>
          <w:lang w:val="pt-BR" w:eastAsia="ja-JP"/>
        </w:rPr>
        <w:t xml:space="preserve"> </w:t>
      </w:r>
      <w:r>
        <w:rPr>
          <w:lang w:val="pt-BR" w:eastAsia="ja-JP"/>
        </w:rPr>
        <w:t>Skyworks Solutions, inc.</w:t>
      </w:r>
    </w:p>
    <w:p w14:paraId="4C919660" w14:textId="382DE67E" w:rsidR="00A45867" w:rsidRPr="00187497" w:rsidRDefault="00A45867" w:rsidP="00206092">
      <w:pPr>
        <w:spacing w:after="120"/>
        <w:ind w:left="564" w:hanging="564"/>
        <w:rPr>
          <w:lang w:val="pt-BR" w:eastAsia="ja-JP"/>
        </w:rPr>
      </w:pPr>
    </w:p>
    <w:sectPr w:rsidR="00A45867" w:rsidRPr="00187497" w:rsidSect="00D47843">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C655F" w14:textId="77777777" w:rsidR="00E864EE" w:rsidRDefault="00E864EE">
      <w:r>
        <w:separator/>
      </w:r>
    </w:p>
  </w:endnote>
  <w:endnote w:type="continuationSeparator" w:id="0">
    <w:p w14:paraId="7446E2E1" w14:textId="77777777" w:rsidR="00E864EE" w:rsidRDefault="00E8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E15A" w14:textId="77777777" w:rsidR="00E864EE" w:rsidRDefault="00E864EE">
      <w:r>
        <w:separator/>
      </w:r>
    </w:p>
  </w:footnote>
  <w:footnote w:type="continuationSeparator" w:id="0">
    <w:p w14:paraId="4AB2AD5B" w14:textId="77777777" w:rsidR="00E864EE" w:rsidRDefault="00E86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E11104"/>
    <w:multiLevelType w:val="hybridMultilevel"/>
    <w:tmpl w:val="0EB6C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CAF77B0"/>
    <w:multiLevelType w:val="hybridMultilevel"/>
    <w:tmpl w:val="D45C68BA"/>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11071E"/>
    <w:multiLevelType w:val="hybridMultilevel"/>
    <w:tmpl w:val="8398E9F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9" w15:restartNumberingAfterBreak="0">
    <w:nsid w:val="2F645820"/>
    <w:multiLevelType w:val="multilevel"/>
    <w:tmpl w:val="36FA5D54"/>
    <w:lvl w:ilvl="0">
      <w:start w:val="1"/>
      <w:numFmt w:val="decimal"/>
      <w:lvlText w:val="%1."/>
      <w:lvlJc w:val="left"/>
      <w:pPr>
        <w:ind w:left="767" w:hanging="360"/>
      </w:pPr>
    </w:lvl>
    <w:lvl w:ilvl="1">
      <w:start w:val="2"/>
      <w:numFmt w:val="decimal"/>
      <w:isLgl/>
      <w:lvlText w:val="%1.%2"/>
      <w:lvlJc w:val="left"/>
      <w:pPr>
        <w:ind w:left="935" w:hanging="528"/>
      </w:pPr>
      <w:rPr>
        <w:rFonts w:hint="default"/>
      </w:rPr>
    </w:lvl>
    <w:lvl w:ilvl="2">
      <w:start w:val="1"/>
      <w:numFmt w:val="decimal"/>
      <w:isLgl/>
      <w:lvlText w:val="%1.%2.%3"/>
      <w:lvlJc w:val="left"/>
      <w:pPr>
        <w:ind w:left="1127" w:hanging="720"/>
      </w:pPr>
      <w:rPr>
        <w:rFonts w:hint="default"/>
      </w:rPr>
    </w:lvl>
    <w:lvl w:ilvl="3">
      <w:start w:val="1"/>
      <w:numFmt w:val="decimal"/>
      <w:isLgl/>
      <w:lvlText w:val="%1.%2.%3.%4"/>
      <w:lvlJc w:val="left"/>
      <w:pPr>
        <w:ind w:left="1127" w:hanging="720"/>
      </w:pPr>
      <w:rPr>
        <w:rFonts w:hint="default"/>
      </w:rPr>
    </w:lvl>
    <w:lvl w:ilvl="4">
      <w:start w:val="1"/>
      <w:numFmt w:val="decimal"/>
      <w:isLgl/>
      <w:lvlText w:val="%1.%2.%3.%4.%5"/>
      <w:lvlJc w:val="left"/>
      <w:pPr>
        <w:ind w:left="1127" w:hanging="720"/>
      </w:pPr>
      <w:rPr>
        <w:rFonts w:hint="default"/>
      </w:rPr>
    </w:lvl>
    <w:lvl w:ilvl="5">
      <w:start w:val="1"/>
      <w:numFmt w:val="decimal"/>
      <w:isLgl/>
      <w:lvlText w:val="%1.%2.%3.%4.%5.%6"/>
      <w:lvlJc w:val="left"/>
      <w:pPr>
        <w:ind w:left="1487" w:hanging="1080"/>
      </w:pPr>
      <w:rPr>
        <w:rFonts w:hint="default"/>
      </w:rPr>
    </w:lvl>
    <w:lvl w:ilvl="6">
      <w:start w:val="1"/>
      <w:numFmt w:val="decimal"/>
      <w:isLgl/>
      <w:lvlText w:val="%1.%2.%3.%4.%5.%6.%7"/>
      <w:lvlJc w:val="left"/>
      <w:pPr>
        <w:ind w:left="1487" w:hanging="1080"/>
      </w:pPr>
      <w:rPr>
        <w:rFonts w:hint="default"/>
      </w:rPr>
    </w:lvl>
    <w:lvl w:ilvl="7">
      <w:start w:val="1"/>
      <w:numFmt w:val="decimal"/>
      <w:isLgl/>
      <w:lvlText w:val="%1.%2.%3.%4.%5.%6.%7.%8"/>
      <w:lvlJc w:val="left"/>
      <w:pPr>
        <w:ind w:left="1847" w:hanging="1440"/>
      </w:pPr>
      <w:rPr>
        <w:rFonts w:hint="default"/>
      </w:rPr>
    </w:lvl>
    <w:lvl w:ilvl="8">
      <w:start w:val="1"/>
      <w:numFmt w:val="decimal"/>
      <w:isLgl/>
      <w:lvlText w:val="%1.%2.%3.%4.%5.%6.%7.%8.%9"/>
      <w:lvlJc w:val="left"/>
      <w:pPr>
        <w:ind w:left="1847" w:hanging="1440"/>
      </w:pPr>
      <w:rPr>
        <w:rFont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330078"/>
    <w:multiLevelType w:val="hybridMultilevel"/>
    <w:tmpl w:val="32FE8E0A"/>
    <w:lvl w:ilvl="0" w:tplc="780A8E3C">
      <w:start w:val="1"/>
      <w:numFmt w:val="bullet"/>
      <w:lvlText w:val="-"/>
      <w:lvlJc w:val="left"/>
      <w:pPr>
        <w:ind w:left="774" w:hanging="360"/>
      </w:pPr>
      <w:rPr>
        <w:rFonts w:ascii="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B27AF6"/>
    <w:multiLevelType w:val="hybridMultilevel"/>
    <w:tmpl w:val="E2989D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D1D0D"/>
    <w:multiLevelType w:val="multilevel"/>
    <w:tmpl w:val="36FA5D54"/>
    <w:lvl w:ilvl="0">
      <w:start w:val="1"/>
      <w:numFmt w:val="decimal"/>
      <w:lvlText w:val="%1."/>
      <w:lvlJc w:val="left"/>
      <w:pPr>
        <w:ind w:left="767" w:hanging="360"/>
      </w:pPr>
    </w:lvl>
    <w:lvl w:ilvl="1">
      <w:start w:val="2"/>
      <w:numFmt w:val="decimal"/>
      <w:isLgl/>
      <w:lvlText w:val="%1.%2"/>
      <w:lvlJc w:val="left"/>
      <w:pPr>
        <w:ind w:left="935" w:hanging="528"/>
      </w:pPr>
      <w:rPr>
        <w:rFonts w:hint="default"/>
      </w:rPr>
    </w:lvl>
    <w:lvl w:ilvl="2">
      <w:start w:val="1"/>
      <w:numFmt w:val="decimal"/>
      <w:isLgl/>
      <w:lvlText w:val="%1.%2.%3"/>
      <w:lvlJc w:val="left"/>
      <w:pPr>
        <w:ind w:left="1127" w:hanging="720"/>
      </w:pPr>
      <w:rPr>
        <w:rFonts w:hint="default"/>
      </w:rPr>
    </w:lvl>
    <w:lvl w:ilvl="3">
      <w:start w:val="1"/>
      <w:numFmt w:val="decimal"/>
      <w:isLgl/>
      <w:lvlText w:val="%1.%2.%3.%4"/>
      <w:lvlJc w:val="left"/>
      <w:pPr>
        <w:ind w:left="1127" w:hanging="720"/>
      </w:pPr>
      <w:rPr>
        <w:rFonts w:hint="default"/>
      </w:rPr>
    </w:lvl>
    <w:lvl w:ilvl="4">
      <w:start w:val="1"/>
      <w:numFmt w:val="decimal"/>
      <w:isLgl/>
      <w:lvlText w:val="%1.%2.%3.%4.%5"/>
      <w:lvlJc w:val="left"/>
      <w:pPr>
        <w:ind w:left="1127" w:hanging="720"/>
      </w:pPr>
      <w:rPr>
        <w:rFonts w:hint="default"/>
      </w:rPr>
    </w:lvl>
    <w:lvl w:ilvl="5">
      <w:start w:val="1"/>
      <w:numFmt w:val="decimal"/>
      <w:isLgl/>
      <w:lvlText w:val="%1.%2.%3.%4.%5.%6"/>
      <w:lvlJc w:val="left"/>
      <w:pPr>
        <w:ind w:left="1487" w:hanging="1080"/>
      </w:pPr>
      <w:rPr>
        <w:rFonts w:hint="default"/>
      </w:rPr>
    </w:lvl>
    <w:lvl w:ilvl="6">
      <w:start w:val="1"/>
      <w:numFmt w:val="decimal"/>
      <w:isLgl/>
      <w:lvlText w:val="%1.%2.%3.%4.%5.%6.%7"/>
      <w:lvlJc w:val="left"/>
      <w:pPr>
        <w:ind w:left="1487" w:hanging="1080"/>
      </w:pPr>
      <w:rPr>
        <w:rFonts w:hint="default"/>
      </w:rPr>
    </w:lvl>
    <w:lvl w:ilvl="7">
      <w:start w:val="1"/>
      <w:numFmt w:val="decimal"/>
      <w:isLgl/>
      <w:lvlText w:val="%1.%2.%3.%4.%5.%6.%7.%8"/>
      <w:lvlJc w:val="left"/>
      <w:pPr>
        <w:ind w:left="1847" w:hanging="1440"/>
      </w:pPr>
      <w:rPr>
        <w:rFonts w:hint="default"/>
      </w:rPr>
    </w:lvl>
    <w:lvl w:ilvl="8">
      <w:start w:val="1"/>
      <w:numFmt w:val="decimal"/>
      <w:isLgl/>
      <w:lvlText w:val="%1.%2.%3.%4.%5.%6.%7.%8.%9"/>
      <w:lvlJc w:val="left"/>
      <w:pPr>
        <w:ind w:left="1847" w:hanging="1440"/>
      </w:pPr>
      <w:rPr>
        <w:rFont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26412486">
    <w:abstractNumId w:val="17"/>
  </w:num>
  <w:num w:numId="2" w16cid:durableId="621693477">
    <w:abstractNumId w:val="30"/>
  </w:num>
  <w:num w:numId="3" w16cid:durableId="18244569">
    <w:abstractNumId w:val="10"/>
  </w:num>
  <w:num w:numId="4" w16cid:durableId="788474020">
    <w:abstractNumId w:val="4"/>
  </w:num>
  <w:num w:numId="5" w16cid:durableId="599945037">
    <w:abstractNumId w:val="23"/>
  </w:num>
  <w:num w:numId="6" w16cid:durableId="1497917379">
    <w:abstractNumId w:val="20"/>
  </w:num>
  <w:num w:numId="7" w16cid:durableId="366222141">
    <w:abstractNumId w:val="22"/>
  </w:num>
  <w:num w:numId="8" w16cid:durableId="582763968">
    <w:abstractNumId w:val="11"/>
  </w:num>
  <w:num w:numId="9" w16cid:durableId="758915478">
    <w:abstractNumId w:val="18"/>
  </w:num>
  <w:num w:numId="10" w16cid:durableId="1111896669">
    <w:abstractNumId w:val="32"/>
  </w:num>
  <w:num w:numId="11" w16cid:durableId="1863741773">
    <w:abstractNumId w:val="7"/>
  </w:num>
  <w:num w:numId="12" w16cid:durableId="876544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6036631">
    <w:abstractNumId w:val="27"/>
  </w:num>
  <w:num w:numId="14" w16cid:durableId="283928964">
    <w:abstractNumId w:val="3"/>
  </w:num>
  <w:num w:numId="15" w16cid:durableId="274682540">
    <w:abstractNumId w:val="16"/>
  </w:num>
  <w:num w:numId="16" w16cid:durableId="1342471314">
    <w:abstractNumId w:val="12"/>
  </w:num>
  <w:num w:numId="17" w16cid:durableId="1194004540">
    <w:abstractNumId w:val="26"/>
  </w:num>
  <w:num w:numId="18" w16cid:durableId="1369798441">
    <w:abstractNumId w:val="28"/>
  </w:num>
  <w:num w:numId="19" w16cid:durableId="1058554325">
    <w:abstractNumId w:val="0"/>
  </w:num>
  <w:num w:numId="20" w16cid:durableId="1146626517">
    <w:abstractNumId w:val="25"/>
  </w:num>
  <w:num w:numId="21" w16cid:durableId="1140803376">
    <w:abstractNumId w:val="5"/>
  </w:num>
  <w:num w:numId="22" w16cid:durableId="1548446212">
    <w:abstractNumId w:val="1"/>
  </w:num>
  <w:num w:numId="23" w16cid:durableId="430129971">
    <w:abstractNumId w:val="24"/>
  </w:num>
  <w:num w:numId="24" w16cid:durableId="986711553">
    <w:abstractNumId w:val="19"/>
  </w:num>
  <w:num w:numId="25" w16cid:durableId="156269575">
    <w:abstractNumId w:val="14"/>
  </w:num>
  <w:num w:numId="26" w16cid:durableId="1080129753">
    <w:abstractNumId w:val="21"/>
  </w:num>
  <w:num w:numId="27" w16cid:durableId="184633448">
    <w:abstractNumId w:val="29"/>
  </w:num>
  <w:num w:numId="28" w16cid:durableId="2103721114">
    <w:abstractNumId w:val="2"/>
  </w:num>
  <w:num w:numId="29" w16cid:durableId="1593859272">
    <w:abstractNumId w:val="13"/>
  </w:num>
  <w:num w:numId="30" w16cid:durableId="643703273">
    <w:abstractNumId w:val="8"/>
  </w:num>
  <w:num w:numId="31" w16cid:durableId="135071940">
    <w:abstractNumId w:val="9"/>
  </w:num>
  <w:num w:numId="32" w16cid:durableId="493229338">
    <w:abstractNumId w:val="6"/>
  </w:num>
  <w:num w:numId="33" w16cid:durableId="103404199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4A7"/>
    <w:rsid w:val="000D6CFC"/>
    <w:rsid w:val="000E1B6E"/>
    <w:rsid w:val="000E37E4"/>
    <w:rsid w:val="000E418E"/>
    <w:rsid w:val="000E5F1D"/>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30D6"/>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0DE"/>
    <w:rsid w:val="002E51B7"/>
    <w:rsid w:val="002E51F6"/>
    <w:rsid w:val="002E75C8"/>
    <w:rsid w:val="002E7F47"/>
    <w:rsid w:val="002F054A"/>
    <w:rsid w:val="002F0605"/>
    <w:rsid w:val="002F246A"/>
    <w:rsid w:val="002F2482"/>
    <w:rsid w:val="002F3F3B"/>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57EE"/>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A79E5"/>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5312"/>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C3B"/>
    <w:rsid w:val="00582F61"/>
    <w:rsid w:val="005849AA"/>
    <w:rsid w:val="00587617"/>
    <w:rsid w:val="0059062D"/>
    <w:rsid w:val="0059196C"/>
    <w:rsid w:val="00593079"/>
    <w:rsid w:val="00596A16"/>
    <w:rsid w:val="005A04B5"/>
    <w:rsid w:val="005A1DCE"/>
    <w:rsid w:val="005A2973"/>
    <w:rsid w:val="005A3B65"/>
    <w:rsid w:val="005A50E6"/>
    <w:rsid w:val="005A5216"/>
    <w:rsid w:val="005A5AC0"/>
    <w:rsid w:val="005A638D"/>
    <w:rsid w:val="005A661B"/>
    <w:rsid w:val="005A70F5"/>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079DD"/>
    <w:rsid w:val="00610E23"/>
    <w:rsid w:val="0061133F"/>
    <w:rsid w:val="006113C6"/>
    <w:rsid w:val="00611AA0"/>
    <w:rsid w:val="00613B1C"/>
    <w:rsid w:val="00614236"/>
    <w:rsid w:val="00616BDE"/>
    <w:rsid w:val="0061705F"/>
    <w:rsid w:val="00617150"/>
    <w:rsid w:val="0061763F"/>
    <w:rsid w:val="00617A9D"/>
    <w:rsid w:val="006211B2"/>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57E80"/>
    <w:rsid w:val="00661AAA"/>
    <w:rsid w:val="0066272D"/>
    <w:rsid w:val="00666145"/>
    <w:rsid w:val="006668E4"/>
    <w:rsid w:val="006673AD"/>
    <w:rsid w:val="00671F22"/>
    <w:rsid w:val="00673DBB"/>
    <w:rsid w:val="006741DC"/>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B7A1F"/>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4A89"/>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45867"/>
    <w:rsid w:val="00A50090"/>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3AA8"/>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75480"/>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2694"/>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EE3"/>
    <w:rsid w:val="00C6215D"/>
    <w:rsid w:val="00C6332C"/>
    <w:rsid w:val="00C64EB5"/>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085E"/>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A4D"/>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8E8"/>
    <w:rsid w:val="00DB6A34"/>
    <w:rsid w:val="00DB6ADA"/>
    <w:rsid w:val="00DB7F02"/>
    <w:rsid w:val="00DC08B3"/>
    <w:rsid w:val="00DC0C63"/>
    <w:rsid w:val="00DC1A49"/>
    <w:rsid w:val="00DC2201"/>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4EE"/>
    <w:rsid w:val="00E8681B"/>
    <w:rsid w:val="00E92C89"/>
    <w:rsid w:val="00E93805"/>
    <w:rsid w:val="00E93814"/>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17FA4"/>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6F22"/>
    <w:rsid w:val="00F6112E"/>
    <w:rsid w:val="00F61554"/>
    <w:rsid w:val="00F61D15"/>
    <w:rsid w:val="00F66B95"/>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48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86297328">
      <w:bodyDiv w:val="1"/>
      <w:marLeft w:val="0"/>
      <w:marRight w:val="0"/>
      <w:marTop w:val="0"/>
      <w:marBottom w:val="0"/>
      <w:divBdr>
        <w:top w:val="none" w:sz="0" w:space="0" w:color="auto"/>
        <w:left w:val="none" w:sz="0" w:space="0" w:color="auto"/>
        <w:bottom w:val="none" w:sz="0" w:space="0" w:color="auto"/>
        <w:right w:val="none" w:sz="0" w:space="0" w:color="auto"/>
      </w:divBdr>
      <w:divsChild>
        <w:div w:id="703139005">
          <w:marLeft w:val="1886"/>
          <w:marRight w:val="0"/>
          <w:marTop w:val="0"/>
          <w:marBottom w:val="0"/>
          <w:divBdr>
            <w:top w:val="none" w:sz="0" w:space="0" w:color="auto"/>
            <w:left w:val="none" w:sz="0" w:space="0" w:color="auto"/>
            <w:bottom w:val="none" w:sz="0" w:space="0" w:color="auto"/>
            <w:right w:val="none" w:sz="0" w:space="0" w:color="auto"/>
          </w:divBdr>
        </w:div>
        <w:div w:id="438066440">
          <w:marLeft w:val="1886"/>
          <w:marRight w:val="0"/>
          <w:marTop w:val="0"/>
          <w:marBottom w:val="0"/>
          <w:divBdr>
            <w:top w:val="none" w:sz="0" w:space="0" w:color="auto"/>
            <w:left w:val="none" w:sz="0" w:space="0" w:color="auto"/>
            <w:bottom w:val="none" w:sz="0" w:space="0" w:color="auto"/>
            <w:right w:val="none" w:sz="0" w:space="0" w:color="auto"/>
          </w:divBdr>
        </w:div>
        <w:div w:id="863597555">
          <w:marLeft w:val="1886"/>
          <w:marRight w:val="0"/>
          <w:marTop w:val="0"/>
          <w:marBottom w:val="0"/>
          <w:divBdr>
            <w:top w:val="none" w:sz="0" w:space="0" w:color="auto"/>
            <w:left w:val="none" w:sz="0" w:space="0" w:color="auto"/>
            <w:bottom w:val="none" w:sz="0" w:space="0" w:color="auto"/>
            <w:right w:val="none" w:sz="0" w:space="0" w:color="auto"/>
          </w:divBdr>
        </w:div>
      </w:divsChild>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1696</Words>
  <Characters>9671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2023-05-15T23:40:00Z</dcterms:created>
  <dcterms:modified xsi:type="dcterms:W3CDTF">2023-05-15T23:40:00Z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